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5A" w:rsidRDefault="003C035A" w:rsidP="003C035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Aloysio Cavalcanti Lima</w:t>
      </w:r>
      <w:bookmarkEnd w:id="0"/>
    </w:p>
    <w:p w:rsidR="003C035A" w:rsidRDefault="003C035A" w:rsidP="003C035A">
      <w:pPr>
        <w:pStyle w:val="Ttulo2"/>
        <w:spacing w:before="0" w:beforeAutospacing="0" w:after="0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</w:p>
    <w:p w:rsidR="003C035A" w:rsidRDefault="003C035A" w:rsidP="003C03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E9DEC12" wp14:editId="5B7616A0">
            <wp:extent cx="152400" cy="152400"/>
            <wp:effectExtent l="0" t="0" r="0" b="0"/>
            <wp:docPr id="10" name="Imagem 1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3C035A" w:rsidRDefault="003C035A" w:rsidP="003C03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(2005) - Universidade Federal de Alagoas - UFAL.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- Escritório Cavalcanti Lima Advogados Associados (2005).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Justiça Federal em Alagoas - JFAL (2005 a 2008).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3C035A" w:rsidRDefault="003C035A" w:rsidP="003C035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XIII Concurso para Juiz Federal Substituto da 4ª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15 de setembro de 2008 - Porto </w:t>
      </w:r>
      <w:proofErr w:type="spellStart"/>
      <w:r>
        <w:rPr>
          <w:rFonts w:ascii="Verdana" w:hAnsi="Verdana"/>
          <w:color w:val="433837"/>
          <w:sz w:val="18"/>
          <w:szCs w:val="18"/>
        </w:rPr>
        <w:t>Alegre-RS</w:t>
      </w:r>
      <w:proofErr w:type="spell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color w:val="433837"/>
          <w:sz w:val="18"/>
          <w:szCs w:val="18"/>
        </w:rPr>
        <w:t>: 16 de maio de 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junho de 2014.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Toledo-PR</w:t>
      </w:r>
      <w:r>
        <w:rPr>
          <w:rFonts w:ascii="Verdana" w:hAnsi="Verdana"/>
          <w:color w:val="433837"/>
          <w:sz w:val="18"/>
          <w:szCs w:val="18"/>
        </w:rPr>
        <w:br/>
        <w:t>15/09/2008 a 15/05/2011.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Arapiraca-AL</w:t>
      </w:r>
      <w:r>
        <w:rPr>
          <w:rFonts w:ascii="Verdana" w:hAnsi="Verdana"/>
          <w:color w:val="433837"/>
          <w:sz w:val="18"/>
          <w:szCs w:val="18"/>
        </w:rPr>
        <w:br/>
        <w:t>16/05/2011 a 31/07/2011.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01/08/2011 a 07/02/2012.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08 de fevereiro de 2012.</w:t>
      </w: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3C035A" w:rsidRDefault="003C035A" w:rsidP="003C035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C035A" w:rsidRDefault="003C035A" w:rsidP="003C035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 </w:t>
      </w:r>
    </w:p>
    <w:p w:rsidR="00FC29DC" w:rsidRPr="00991BCD" w:rsidRDefault="00FC29DC" w:rsidP="003C035A">
      <w:pPr>
        <w:spacing w:after="0"/>
      </w:pPr>
    </w:p>
    <w:sectPr w:rsidR="00FC29DC" w:rsidRPr="00991BC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3C035A"/>
    <w:rsid w:val="00537007"/>
    <w:rsid w:val="005D300C"/>
    <w:rsid w:val="005E24C0"/>
    <w:rsid w:val="00602650"/>
    <w:rsid w:val="006F55DC"/>
    <w:rsid w:val="00855C1E"/>
    <w:rsid w:val="009124EB"/>
    <w:rsid w:val="00991BCD"/>
    <w:rsid w:val="00B7270D"/>
    <w:rsid w:val="00BA0579"/>
    <w:rsid w:val="00C81DC0"/>
    <w:rsid w:val="00D91208"/>
    <w:rsid w:val="00DB1487"/>
    <w:rsid w:val="00E126B4"/>
    <w:rsid w:val="00E70243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fpe.jus.br/index.php/institucional/biblioteca/792-aloysio-cavalcanti-lim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2014-12-04T19:56:00Z</dcterms:created>
  <dcterms:modified xsi:type="dcterms:W3CDTF">2014-12-04T19:56:00Z</dcterms:modified>
</cp:coreProperties>
</file>