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A0E24">
            <w:pPr>
              <w:pStyle w:val="Ttulo4"/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DIRETOR DO FORO</w:t>
            </w:r>
            <w:r w:rsidR="001A0E24">
              <w:rPr>
                <w:bCs/>
                <w:szCs w:val="24"/>
              </w:rPr>
              <w:t xml:space="preserve"> </w:t>
            </w:r>
            <w:r w:rsidR="001A0E24">
              <w:rPr>
                <w:bCs/>
                <w:szCs w:val="24"/>
              </w:rPr>
              <w:br/>
              <w:t>(em exercício)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F7600A" w:rsidRDefault="0028401F" w:rsidP="00F7600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F7600A">
              <w:rPr>
                <w:rFonts w:ascii="Arial" w:hAnsi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7C0E18" w:rsidRDefault="0028401F" w:rsidP="00F7600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0140CC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0140CC" w:rsidRDefault="000140CC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140CC" w:rsidTr="00C37DD9">
        <w:trPr>
          <w:cantSplit/>
        </w:trPr>
        <w:tc>
          <w:tcPr>
            <w:tcW w:w="669" w:type="dxa"/>
            <w:vMerge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0140CC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vAlign w:val="center"/>
          </w:tcPr>
          <w:p w:rsidR="000140CC" w:rsidRPr="007C0E18" w:rsidRDefault="000140CC" w:rsidP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40CC" w:rsidRDefault="000140CC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40CC" w:rsidRDefault="000140CC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40CC" w:rsidRPr="007C0E18" w:rsidRDefault="000140C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0CC" w:rsidRPr="004B1367" w:rsidRDefault="000140CC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40CC" w:rsidRDefault="000140CC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Align w:val="center"/>
          </w:tcPr>
          <w:p w:rsidR="000140CC" w:rsidRPr="00146DCC" w:rsidRDefault="000140C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0140CC" w:rsidRPr="00146DCC" w:rsidRDefault="000140CC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0140CC" w:rsidRDefault="000140CC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0140CC" w:rsidRPr="00146DCC" w:rsidRDefault="000140CC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0140CC" w:rsidTr="00C37DD9">
        <w:trPr>
          <w:cantSplit/>
        </w:trPr>
        <w:tc>
          <w:tcPr>
            <w:tcW w:w="669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0140CC" w:rsidRDefault="000140CC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140CC" w:rsidTr="00D1385A">
        <w:trPr>
          <w:cantSplit/>
        </w:trPr>
        <w:tc>
          <w:tcPr>
            <w:tcW w:w="669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0140CC" w:rsidRDefault="000140CC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0140CC" w:rsidRDefault="000140CC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0140CC" w:rsidRDefault="000140CC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0140CC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0140CC" w:rsidRDefault="000140CC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0140CC" w:rsidRDefault="000140CC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0140CC" w:rsidRDefault="000140CC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PRESTAR AUXÍLIO NA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C418C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  <w:r w:rsidR="007E082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 w:rsidTr="0021442B">
        <w:trPr>
          <w:cantSplit/>
        </w:trPr>
        <w:tc>
          <w:tcPr>
            <w:tcW w:w="665" w:type="dxa"/>
            <w:vMerge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21442B" w:rsidRPr="00C37DD9" w:rsidRDefault="0021442B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1442B" w:rsidRDefault="0021442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21442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21442B" w:rsidRPr="00D932BC" w:rsidRDefault="0021442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vAlign w:val="center"/>
          </w:tcPr>
          <w:p w:rsidR="0021442B" w:rsidRDefault="0021442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21442B" w:rsidRDefault="0021442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/>
            <w:vAlign w:val="center"/>
          </w:tcPr>
          <w:p w:rsidR="0021442B" w:rsidRDefault="0021442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1442B" w:rsidRDefault="0021442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21442B" w:rsidRPr="004A67B3" w:rsidRDefault="0021442B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21442B" w:rsidRPr="00836207" w:rsidRDefault="0021442B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 w:rsidTr="00A26FDC">
        <w:trPr>
          <w:cantSplit/>
        </w:trPr>
        <w:tc>
          <w:tcPr>
            <w:tcW w:w="665" w:type="dxa"/>
            <w:vMerge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Pr="00C37DD9" w:rsidRDefault="0021442B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21442B" w:rsidRDefault="0021442B" w:rsidP="004A67B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1442B" w:rsidRDefault="0021442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1442B" w:rsidRDefault="0021442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1442B" w:rsidRDefault="002144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1442B" w:rsidRDefault="0021442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1442B">
        <w:trPr>
          <w:cantSplit/>
        </w:trPr>
        <w:tc>
          <w:tcPr>
            <w:tcW w:w="665" w:type="dxa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21442B" w:rsidRDefault="0021442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1442B" w:rsidRDefault="0021442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1442B">
        <w:trPr>
          <w:cantSplit/>
        </w:trPr>
        <w:tc>
          <w:tcPr>
            <w:tcW w:w="665" w:type="dxa"/>
            <w:vMerge w:val="restart"/>
            <w:vAlign w:val="center"/>
          </w:tcPr>
          <w:p w:rsidR="0021442B" w:rsidRDefault="0021442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21442B" w:rsidRDefault="0021442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1442B" w:rsidRDefault="0021442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21442B" w:rsidRDefault="0021442B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21442B" w:rsidRDefault="0021442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21442B" w:rsidRDefault="0021442B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1442B">
        <w:trPr>
          <w:cantSplit/>
        </w:trPr>
        <w:tc>
          <w:tcPr>
            <w:tcW w:w="665" w:type="dxa"/>
            <w:vMerge w:val="restart"/>
            <w:vAlign w:val="center"/>
          </w:tcPr>
          <w:p w:rsidR="0021442B" w:rsidRDefault="0021442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21442B" w:rsidRDefault="0021442B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21442B" w:rsidRDefault="0021442B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21442B" w:rsidRDefault="0021442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A183A" w:rsidTr="00E80723">
        <w:trPr>
          <w:cantSplit/>
        </w:trPr>
        <w:tc>
          <w:tcPr>
            <w:tcW w:w="665" w:type="dxa"/>
            <w:vMerge/>
            <w:vAlign w:val="center"/>
          </w:tcPr>
          <w:p w:rsidR="00DA183A" w:rsidRDefault="00DA183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A183A" w:rsidRDefault="00DA183A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A183A" w:rsidRPr="00EB6EC7" w:rsidRDefault="00DA183A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DA183A" w:rsidRDefault="00DA183A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DA183A" w:rsidRDefault="00DA183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 w:rsidRPr="00F055FC" w:rsidTr="00CB440E">
        <w:trPr>
          <w:cantSplit/>
        </w:trPr>
        <w:tc>
          <w:tcPr>
            <w:tcW w:w="665" w:type="dxa"/>
            <w:vAlign w:val="center"/>
          </w:tcPr>
          <w:p w:rsidR="00DA183A" w:rsidRPr="00F055FC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DA183A" w:rsidRPr="00F055FC" w:rsidRDefault="00DA183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A183A" w:rsidRPr="00F055FC" w:rsidRDefault="00DA183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A183A" w:rsidRDefault="00DA183A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A183A" w:rsidRPr="00F055FC" w:rsidRDefault="00DA183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A183A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DA183A" w:rsidRDefault="00DA183A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DA183A" w:rsidRDefault="00DA183A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A183A" w:rsidRDefault="00DA183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A183A" w:rsidRDefault="00DA183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A183A" w:rsidRDefault="00DA183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A183A" w:rsidTr="00EB6EC7">
        <w:trPr>
          <w:cantSplit/>
        </w:trPr>
        <w:tc>
          <w:tcPr>
            <w:tcW w:w="665" w:type="dxa"/>
            <w:vMerge/>
            <w:vAlign w:val="center"/>
          </w:tcPr>
          <w:p w:rsidR="00DA183A" w:rsidRDefault="00DA183A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A183A" w:rsidRDefault="00DA183A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DA183A" w:rsidRDefault="00DA183A" w:rsidP="00E8072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DA183A" w:rsidRPr="00700C83" w:rsidRDefault="00DA183A" w:rsidP="00E8072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A183A" w:rsidRDefault="00DA183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A183A" w:rsidRDefault="00DA183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A183A" w:rsidRDefault="00DA183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vMerge w:val="restart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DA183A" w:rsidRDefault="00DA183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A183A" w:rsidRDefault="00DA183A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A183A" w:rsidRDefault="00DA183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A183A" w:rsidRDefault="00DA183A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A183A" w:rsidTr="00DB588A">
        <w:trPr>
          <w:cantSplit/>
        </w:trPr>
        <w:tc>
          <w:tcPr>
            <w:tcW w:w="665" w:type="dxa"/>
            <w:vMerge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A183A" w:rsidRDefault="00DA183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DA183A" w:rsidRPr="00C37DD9" w:rsidRDefault="00DA183A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DA183A" w:rsidRPr="00C37DD9" w:rsidRDefault="00DA183A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A183A" w:rsidRDefault="00DA183A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A183A" w:rsidRDefault="00DA183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A183A" w:rsidRDefault="00DA183A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DA183A" w:rsidRPr="008F5897" w:rsidRDefault="00DA183A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A183A" w:rsidRDefault="00DA183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DA183A" w:rsidRDefault="00DA183A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DA183A" w:rsidRDefault="00DA183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A183A" w:rsidRDefault="00DA183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DA183A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A183A" w:rsidRDefault="00DA183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A183A" w:rsidRDefault="00DA183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A183A" w:rsidRDefault="00DA183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A183A" w:rsidRDefault="00DA183A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A183A" w:rsidRDefault="00DA183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183A" w:rsidRDefault="00DA183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DA183A" w:rsidRDefault="00DA183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vMerge w:val="restart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A183A" w:rsidRDefault="00DA183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DA183A" w:rsidRDefault="00DA183A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 w:rsidTr="00D44402">
        <w:trPr>
          <w:cantSplit/>
        </w:trPr>
        <w:tc>
          <w:tcPr>
            <w:tcW w:w="665" w:type="dxa"/>
            <w:vMerge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A183A" w:rsidRPr="00C37DD9" w:rsidRDefault="00DA183A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DA183A" w:rsidRDefault="00DA183A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A183A" w:rsidRDefault="00DA183A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A183A" w:rsidRDefault="00DA183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183A" w:rsidRDefault="00DA183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A183A" w:rsidRDefault="00DA183A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A183A" w:rsidRDefault="00DA183A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A01822">
        <w:t>(1º Relator da 1ª Turma Recursal/CE)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1952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248/2017-GP)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2F52A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33708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F7EFF">
              <w:rPr>
                <w:rFonts w:ascii="Arial" w:hAnsi="Arial"/>
                <w:sz w:val="16"/>
              </w:rPr>
              <w:t xml:space="preserve">DA 20ª VARA/PE </w:t>
            </w:r>
            <w:r>
              <w:rPr>
                <w:rFonts w:ascii="Arial" w:hAnsi="Arial"/>
                <w:sz w:val="16"/>
              </w:rPr>
              <w:t>DESIGNADO PARA RESPONDER PELA 20ª VARA/PE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Pr="00E200E8" w:rsidRDefault="00B828B9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828B9" w:rsidRDefault="00B828B9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828B9" w:rsidRDefault="00B828B9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</w:t>
            </w:r>
            <w:r w:rsidR="00171DFD">
              <w:rPr>
                <w:rFonts w:ascii="Arial" w:hAnsi="Arial"/>
                <w:sz w:val="16"/>
              </w:rPr>
              <w:t>SEM</w:t>
            </w:r>
            <w:r>
              <w:rPr>
                <w:rFonts w:ascii="Arial" w:hAnsi="Arial"/>
                <w:sz w:val="16"/>
              </w:rPr>
              <w:t xml:space="preserve">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828B9" w:rsidRDefault="00B828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828B9" w:rsidTr="00BB7CCF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Pr="00BB7CCF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Default="00B828B9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</w:t>
            </w:r>
            <w:r w:rsidR="0047720A">
              <w:rPr>
                <w:rFonts w:ascii="Arial" w:hAnsi="Arial"/>
                <w:sz w:val="16"/>
              </w:rPr>
              <w:t xml:space="preserve"> E EXERCER FUNÇÕES DE SUBSTITUIÇÃO NA 2ª RELATORIA DA 2ª TURMA RECURSAL/PE</w:t>
            </w:r>
            <w:r>
              <w:rPr>
                <w:rFonts w:ascii="Arial" w:hAnsi="Arial"/>
                <w:sz w:val="16"/>
              </w:rPr>
              <w:t xml:space="preserve">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9B12FC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828B9" w:rsidRPr="009B12FC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146DCC" w:rsidRDefault="00B828B9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 w:rsidTr="001A740D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Pr="001A61D1" w:rsidRDefault="00B828B9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828B9" w:rsidRPr="00505EFD" w:rsidRDefault="00B828B9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828B9" w:rsidRDefault="00B828B9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828B9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828B9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828B9" w:rsidRPr="00171DFD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71DFD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828B9" w:rsidRPr="00700C83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</w:t>
            </w:r>
            <w:r w:rsidR="00171DFD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 xml:space="preserve">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  <w:trHeight w:val="58"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7E4186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B828B9" w:rsidRPr="007E4186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E4186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 w:rsidP="004A67B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D600F">
        <w:trPr>
          <w:cantSplit/>
        </w:trPr>
        <w:tc>
          <w:tcPr>
            <w:tcW w:w="665" w:type="dxa"/>
            <w:vMerge w:val="restart"/>
            <w:vAlign w:val="center"/>
          </w:tcPr>
          <w:p w:rsidR="000D600F" w:rsidRDefault="000D60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0D600F" w:rsidRDefault="000D60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0D600F" w:rsidRDefault="000D600F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0D600F" w:rsidRDefault="000D600F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38ª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0D600F" w:rsidRDefault="000D60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D600F">
        <w:trPr>
          <w:cantSplit/>
        </w:trPr>
        <w:tc>
          <w:tcPr>
            <w:tcW w:w="665" w:type="dxa"/>
            <w:vMerge/>
            <w:vAlign w:val="center"/>
          </w:tcPr>
          <w:p w:rsidR="000D600F" w:rsidRDefault="000D60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0D600F" w:rsidRDefault="000D60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0D600F" w:rsidRPr="00E67872" w:rsidRDefault="00E67872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green"/>
              </w:rPr>
            </w:pPr>
            <w:r w:rsidRPr="00E67872">
              <w:rPr>
                <w:rFonts w:ascii="Arial" w:hAnsi="Arial" w:cs="Arial"/>
                <w:b/>
                <w:bCs/>
                <w:snapToGrid w:val="0"/>
                <w:sz w:val="16"/>
                <w:highlight w:val="green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:rsidR="000D600F" w:rsidRPr="00E67872" w:rsidRDefault="000D600F" w:rsidP="00E6787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  <w:highlight w:val="green"/>
              </w:rPr>
            </w:pPr>
            <w:r w:rsidRPr="00E67872">
              <w:rPr>
                <w:rFonts w:ascii="Arial" w:hAnsi="Arial"/>
                <w:sz w:val="16"/>
                <w:highlight w:val="green"/>
              </w:rPr>
              <w:t>JUIZ FEDERAL SUBSTITUTO *</w:t>
            </w:r>
          </w:p>
        </w:tc>
        <w:tc>
          <w:tcPr>
            <w:tcW w:w="2400" w:type="dxa"/>
            <w:vAlign w:val="center"/>
          </w:tcPr>
          <w:p w:rsidR="000D600F" w:rsidRDefault="000D60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lastRenderedPageBreak/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 xml:space="preserve">As competências das Varas Federais, instaladas </w:t>
      </w:r>
      <w:bookmarkStart w:id="0" w:name="_GoBack"/>
      <w:bookmarkEnd w:id="0"/>
      <w:r w:rsidR="00287FC4">
        <w:rPr>
          <w:rFonts w:ascii="Arial" w:hAnsi="Arial"/>
          <w:snapToGrid w:val="0"/>
          <w:sz w:val="16"/>
        </w:rPr>
        <w:t>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  <w:r w:rsidRPr="00E67872">
        <w:rPr>
          <w:b w:val="0"/>
          <w:szCs w:val="24"/>
          <w:highlight w:val="green"/>
        </w:rPr>
        <w:t>(*)</w:t>
      </w:r>
      <w:r>
        <w:rPr>
          <w:b w:val="0"/>
          <w:szCs w:val="24"/>
        </w:rPr>
        <w:t xml:space="preserve"> Removido da 1ª Região, a partir de 20/11/2018. Em trânsito </w:t>
      </w:r>
      <w:r w:rsidR="00AC25ED">
        <w:rPr>
          <w:b w:val="0"/>
          <w:szCs w:val="24"/>
        </w:rPr>
        <w:t>de 20/11 a 19/12/2018</w:t>
      </w:r>
      <w:r>
        <w:rPr>
          <w:b w:val="0"/>
          <w:szCs w:val="24"/>
        </w:rPr>
        <w:t xml:space="preserve"> (Ato</w:t>
      </w:r>
      <w:r w:rsidR="00AC25ED">
        <w:rPr>
          <w:b w:val="0"/>
          <w:szCs w:val="24"/>
        </w:rPr>
        <w:t>s</w:t>
      </w:r>
      <w:r>
        <w:rPr>
          <w:b w:val="0"/>
          <w:szCs w:val="24"/>
        </w:rPr>
        <w:t xml:space="preserve"> nº</w:t>
      </w:r>
      <w:r w:rsidR="00AC25ED">
        <w:rPr>
          <w:b w:val="0"/>
          <w:szCs w:val="24"/>
        </w:rPr>
        <w:t>:</w:t>
      </w:r>
      <w:r>
        <w:rPr>
          <w:b w:val="0"/>
          <w:szCs w:val="24"/>
        </w:rPr>
        <w:t xml:space="preserve"> 391</w:t>
      </w:r>
      <w:r w:rsidR="00AC25ED">
        <w:rPr>
          <w:b w:val="0"/>
          <w:szCs w:val="24"/>
        </w:rPr>
        <w:t xml:space="preserve"> e 392/2018-GP).</w:t>
      </w: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2F52A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510B2" w:rsidRPr="00523CB2">
              <w:rPr>
                <w:rFonts w:ascii="Arial" w:hAnsi="Arial"/>
                <w:snapToGrid w:val="0"/>
                <w:sz w:val="16"/>
              </w:rPr>
              <w:t>(</w:t>
            </w:r>
            <w:r w:rsidR="006510B2"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 w:rsidR="006510B2">
              <w:rPr>
                <w:rFonts w:ascii="Arial" w:hAnsi="Arial"/>
                <w:b/>
                <w:bCs/>
                <w:snapToGrid w:val="0"/>
                <w:sz w:val="16"/>
              </w:rPr>
              <w:t xml:space="preserve">PARA </w:t>
            </w:r>
            <w:r w:rsidR="009656DC">
              <w:rPr>
                <w:rFonts w:ascii="Arial" w:hAnsi="Arial"/>
                <w:b/>
                <w:bCs/>
                <w:snapToGrid w:val="0"/>
                <w:sz w:val="16"/>
              </w:rPr>
              <w:t>ATUAR COMO JUIZ INSTRUTOR</w:t>
            </w:r>
            <w:r w:rsidR="006510B2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  <w:r w:rsidR="006510B2"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="006510B2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6510B2"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="006510B2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52AD">
        <w:rPr>
          <w:rFonts w:ascii="Arial" w:hAnsi="Arial"/>
          <w:snapToGrid w:val="0"/>
          <w:sz w:val="16"/>
        </w:rPr>
        <w:t>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47720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4316C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4316CA">
              <w:rPr>
                <w:rFonts w:ascii="Arial" w:hAnsi="Arial" w:cs="Arial"/>
                <w:b/>
                <w:bCs/>
                <w:sz w:val="20"/>
              </w:rPr>
              <w:t>20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</w:t>
            </w:r>
            <w:r w:rsidR="004316CA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0/2018 a </w:t>
            </w:r>
            <w:r w:rsidR="007C1F80">
              <w:rPr>
                <w:rFonts w:ascii="Arial" w:hAnsi="Arial" w:cs="Arial"/>
                <w:b/>
                <w:bCs/>
                <w:sz w:val="20"/>
              </w:rPr>
              <w:t>15/12/2018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CA62BC" w:rsidRDefault="00F9240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4F08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C418C3" w:rsidRDefault="00F9240A" w:rsidP="00C418C3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BRUNO LEONARDO CÂMARA CARRÁ</w:t>
            </w:r>
            <w:r w:rsidR="00A9295C" w:rsidRPr="00C418C3"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C418C3" w:rsidRDefault="00C418C3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Pr="00C032D2" w:rsidRDefault="00AF3B2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AF3B25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Pr="00094790" w:rsidRDefault="00AF3B2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B7507A" w:rsidRDefault="00B7507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B7507A" w:rsidRDefault="00B7507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B7507A" w:rsidRDefault="00B7507A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B7507A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7507A" w:rsidRDefault="00B7507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B7507A" w:rsidRDefault="00B7507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B7507A" w:rsidRDefault="00B7507A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B7507A" w:rsidRPr="00C418C3" w:rsidRDefault="00B7507A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B7507A" w:rsidRDefault="00B7507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B7507A" w:rsidRDefault="00B7507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B7507A" w:rsidRDefault="00B7507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7507A" w:rsidRDefault="00B7507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7507A" w:rsidRDefault="00B7507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7507A" w:rsidRDefault="00B7507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7507A" w:rsidRDefault="00B7507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7507A" w:rsidRDefault="00B7507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B7507A" w:rsidRDefault="00B7507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7507A" w:rsidRDefault="00B7507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7507A" w:rsidRDefault="00B7507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7507A" w:rsidRDefault="00B7507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7507A" w:rsidRDefault="00B7507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7507A" w:rsidRDefault="00B7507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B7507A" w:rsidRDefault="00B7507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B7507A" w:rsidRDefault="00B7507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B7507A" w:rsidRDefault="00B7507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8C4048" w:rsidRDefault="00B7507A" w:rsidP="008C404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8C4048" w:rsidRDefault="00B7507A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80602">
              <w:rPr>
                <w:rFonts w:ascii="Arial" w:hAnsi="Arial" w:cs="Arial"/>
                <w:sz w:val="16"/>
              </w:rPr>
              <w:t>LIANNE PEREIRA DA MOTTA PIRES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171D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171D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01/08/2018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01/02/2019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442/2018-CR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B7507A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CA62BC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890EE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7507A">
              <w:rPr>
                <w:rFonts w:ascii="Arial" w:hAnsi="Arial" w:cs="Arial"/>
                <w:sz w:val="16"/>
                <w:highlight w:val="cyan"/>
                <w:lang w:val="en-US"/>
              </w:rPr>
              <w:t>15/12/2018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B7507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7507A" w:rsidRDefault="00B7507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B7507A" w:rsidRDefault="00B7507A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8F6044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B7507A" w:rsidRPr="002F52AD" w:rsidRDefault="00B7507A" w:rsidP="002F52A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B7507A" w:rsidTr="002F52A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7507A" w:rsidRDefault="00B7507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7507A" w:rsidRDefault="00B7507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7507A" w:rsidRDefault="00B7507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7507A" w:rsidRDefault="00B7507A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7507A" w:rsidRDefault="00B7507A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7507A" w:rsidRDefault="00B7507A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B7507A" w:rsidRDefault="00B7507A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7507A" w:rsidRDefault="00B7507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B7507A" w:rsidRPr="001A61D1" w:rsidRDefault="00B7507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Pr="00BB48B5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7507A" w:rsidRDefault="00B7507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B7507A" w:rsidRDefault="00B7507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B7507A" w:rsidRDefault="00B7507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7507A" w:rsidRDefault="00B7507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7507A" w:rsidRDefault="00B7507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B7507A" w:rsidRDefault="00B7507A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B7507A" w:rsidRDefault="00B7507A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B7507A" w:rsidRDefault="00B7507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 xml:space="preserve">Exerce, ainda, a função de </w:t>
      </w:r>
      <w:r w:rsidR="00894F08" w:rsidRPr="00767701">
        <w:rPr>
          <w:rFonts w:ascii="Arial" w:hAnsi="Arial" w:cs="Arial"/>
          <w:sz w:val="16"/>
          <w:u w:val="single"/>
        </w:rPr>
        <w:t>Diretor do Foro</w:t>
      </w:r>
      <w:r w:rsidR="00894F08">
        <w:rPr>
          <w:rFonts w:ascii="Arial" w:hAnsi="Arial" w:cs="Arial"/>
          <w:sz w:val="16"/>
        </w:rPr>
        <w:t xml:space="preserve">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>fastado</w:t>
      </w:r>
      <w:r w:rsidR="00C418C3">
        <w:rPr>
          <w:rFonts w:ascii="Arial" w:hAnsi="Arial"/>
          <w:bCs/>
          <w:snapToGrid w:val="0"/>
          <w:sz w:val="16"/>
        </w:rPr>
        <w:t xml:space="preserve"> - com prejuízo da jurisdição originária -</w:t>
      </w:r>
      <w:r w:rsidRPr="00A9295C">
        <w:rPr>
          <w:rFonts w:ascii="Arial" w:hAnsi="Arial"/>
          <w:bCs/>
          <w:snapToGrid w:val="0"/>
          <w:sz w:val="16"/>
        </w:rPr>
        <w:t xml:space="preserve">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184C2C">
        <w:rPr>
          <w:rFonts w:ascii="Arial" w:hAnsi="Arial"/>
          <w:bCs/>
          <w:snapToGrid w:val="0"/>
          <w:sz w:val="16"/>
        </w:rPr>
        <w:t>, conforme PA SEI nº 10635-20/2017.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*** Afastado para atuar na condição de Juiz Instrutor no STJ, a partir de 01/08/2018.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** Exerce, ainda, a função de </w:t>
      </w:r>
      <w:r w:rsidRPr="00767701">
        <w:rPr>
          <w:rFonts w:ascii="Arial" w:hAnsi="Arial" w:cs="Arial"/>
          <w:sz w:val="16"/>
          <w:u w:val="single"/>
        </w:rPr>
        <w:t>Diretor do Foro</w:t>
      </w:r>
      <w:r>
        <w:rPr>
          <w:rFonts w:ascii="Arial" w:hAnsi="Arial" w:cs="Arial"/>
          <w:sz w:val="16"/>
        </w:rPr>
        <w:t xml:space="preserve"> da respectiva Seção Judiciária (no período de 04/04/2017 a 31/03/2019).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2D2" w:rsidRDefault="00CB42D2">
      <w:r>
        <w:separator/>
      </w:r>
    </w:p>
  </w:endnote>
  <w:endnote w:type="continuationSeparator" w:id="0">
    <w:p w:rsidR="00CB42D2" w:rsidRDefault="00CB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2D2" w:rsidRDefault="00CB42D2">
      <w:r>
        <w:separator/>
      </w:r>
    </w:p>
  </w:footnote>
  <w:footnote w:type="continuationSeparator" w:id="0">
    <w:p w:rsidR="00CB42D2" w:rsidRDefault="00CB4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872" w:rsidRDefault="00E6787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67872" w:rsidRDefault="00E6787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E67872" w:rsidRDefault="00E67872">
    <w:pPr>
      <w:pStyle w:val="Cabealho"/>
      <w:rPr>
        <w:b/>
        <w:sz w:val="24"/>
      </w:rPr>
    </w:pPr>
  </w:p>
  <w:p w:rsidR="00E67872" w:rsidRDefault="00E67872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E67872" w:rsidRPr="008B0764" w:rsidRDefault="00E67872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20/11</w:t>
    </w:r>
    <w:r w:rsidRPr="00C032D2">
      <w:rPr>
        <w:rFonts w:ascii="Arial" w:hAnsi="Arial"/>
        <w:b/>
      </w:rPr>
      <w:t>/2018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872" w:rsidRDefault="00E6787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67872" w:rsidRDefault="00E6787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37C4"/>
    <w:rsid w:val="000D600F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1DFD"/>
    <w:rsid w:val="00173010"/>
    <w:rsid w:val="00173E0C"/>
    <w:rsid w:val="00176172"/>
    <w:rsid w:val="00176E4D"/>
    <w:rsid w:val="00180602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821"/>
    <w:rsid w:val="00210FC1"/>
    <w:rsid w:val="002133B1"/>
    <w:rsid w:val="002139A5"/>
    <w:rsid w:val="0021442B"/>
    <w:rsid w:val="00214F13"/>
    <w:rsid w:val="00217837"/>
    <w:rsid w:val="002209CA"/>
    <w:rsid w:val="002213E9"/>
    <w:rsid w:val="00221F8C"/>
    <w:rsid w:val="00222155"/>
    <w:rsid w:val="00222C04"/>
    <w:rsid w:val="00222C35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6200"/>
    <w:rsid w:val="00251112"/>
    <w:rsid w:val="00260C64"/>
    <w:rsid w:val="00262EBC"/>
    <w:rsid w:val="00264199"/>
    <w:rsid w:val="002660C4"/>
    <w:rsid w:val="002706E4"/>
    <w:rsid w:val="00271221"/>
    <w:rsid w:val="00272733"/>
    <w:rsid w:val="002744FB"/>
    <w:rsid w:val="0028401F"/>
    <w:rsid w:val="00286933"/>
    <w:rsid w:val="00287FC4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385E"/>
    <w:rsid w:val="002E7A8B"/>
    <w:rsid w:val="002F0DCC"/>
    <w:rsid w:val="002F52AD"/>
    <w:rsid w:val="00300152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78E"/>
    <w:rsid w:val="0038699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25E7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4C1"/>
    <w:rsid w:val="00414BC2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7720A"/>
    <w:rsid w:val="004814F9"/>
    <w:rsid w:val="00484CAC"/>
    <w:rsid w:val="00492199"/>
    <w:rsid w:val="00496886"/>
    <w:rsid w:val="00497DAA"/>
    <w:rsid w:val="004A3307"/>
    <w:rsid w:val="004A4981"/>
    <w:rsid w:val="004A67B3"/>
    <w:rsid w:val="004A6C61"/>
    <w:rsid w:val="004A6C6D"/>
    <w:rsid w:val="004A75CE"/>
    <w:rsid w:val="004B0F4E"/>
    <w:rsid w:val="004B1367"/>
    <w:rsid w:val="004B2B87"/>
    <w:rsid w:val="004B46AC"/>
    <w:rsid w:val="004C3218"/>
    <w:rsid w:val="004C4074"/>
    <w:rsid w:val="004C54D8"/>
    <w:rsid w:val="004C62FE"/>
    <w:rsid w:val="004D0232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6CD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3C2A"/>
    <w:rsid w:val="005C49EB"/>
    <w:rsid w:val="005C7221"/>
    <w:rsid w:val="005C7892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1952"/>
    <w:rsid w:val="005F700B"/>
    <w:rsid w:val="00602487"/>
    <w:rsid w:val="0060289A"/>
    <w:rsid w:val="00616269"/>
    <w:rsid w:val="006169F4"/>
    <w:rsid w:val="00623E26"/>
    <w:rsid w:val="00625E37"/>
    <w:rsid w:val="006270C9"/>
    <w:rsid w:val="0063020C"/>
    <w:rsid w:val="0063120A"/>
    <w:rsid w:val="00631811"/>
    <w:rsid w:val="00634712"/>
    <w:rsid w:val="0063626C"/>
    <w:rsid w:val="00637E26"/>
    <w:rsid w:val="0065098E"/>
    <w:rsid w:val="006510B2"/>
    <w:rsid w:val="00652382"/>
    <w:rsid w:val="00656352"/>
    <w:rsid w:val="00656B0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A48EA"/>
    <w:rsid w:val="006B0FA2"/>
    <w:rsid w:val="006B34B6"/>
    <w:rsid w:val="006B5473"/>
    <w:rsid w:val="006C66E7"/>
    <w:rsid w:val="006C7850"/>
    <w:rsid w:val="006D1202"/>
    <w:rsid w:val="006D335D"/>
    <w:rsid w:val="006D4614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47A"/>
    <w:rsid w:val="00711D41"/>
    <w:rsid w:val="007143DE"/>
    <w:rsid w:val="0072143D"/>
    <w:rsid w:val="007251E9"/>
    <w:rsid w:val="007325D8"/>
    <w:rsid w:val="00735929"/>
    <w:rsid w:val="00736D1D"/>
    <w:rsid w:val="00737045"/>
    <w:rsid w:val="00737FC8"/>
    <w:rsid w:val="00742740"/>
    <w:rsid w:val="00745C71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67701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0829"/>
    <w:rsid w:val="007E3B70"/>
    <w:rsid w:val="007E4186"/>
    <w:rsid w:val="007E4DBA"/>
    <w:rsid w:val="007E4E51"/>
    <w:rsid w:val="007E5CEC"/>
    <w:rsid w:val="007E6DBF"/>
    <w:rsid w:val="007E736A"/>
    <w:rsid w:val="007E7A30"/>
    <w:rsid w:val="007F0A58"/>
    <w:rsid w:val="007F1EAB"/>
    <w:rsid w:val="007F31B5"/>
    <w:rsid w:val="007F3D2E"/>
    <w:rsid w:val="007F3F98"/>
    <w:rsid w:val="00800D65"/>
    <w:rsid w:val="008136B4"/>
    <w:rsid w:val="00814936"/>
    <w:rsid w:val="00817293"/>
    <w:rsid w:val="00823482"/>
    <w:rsid w:val="0082535C"/>
    <w:rsid w:val="00825D44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A1C"/>
    <w:rsid w:val="00861A2E"/>
    <w:rsid w:val="0086257A"/>
    <w:rsid w:val="00862D59"/>
    <w:rsid w:val="00866D92"/>
    <w:rsid w:val="008671C0"/>
    <w:rsid w:val="008674F8"/>
    <w:rsid w:val="00871F7D"/>
    <w:rsid w:val="0088247E"/>
    <w:rsid w:val="00882576"/>
    <w:rsid w:val="0088265A"/>
    <w:rsid w:val="0088455E"/>
    <w:rsid w:val="008849B9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B6C19"/>
    <w:rsid w:val="008C4048"/>
    <w:rsid w:val="008C4CD2"/>
    <w:rsid w:val="008C5029"/>
    <w:rsid w:val="008D1461"/>
    <w:rsid w:val="008D3189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2B45"/>
    <w:rsid w:val="00933035"/>
    <w:rsid w:val="00933C70"/>
    <w:rsid w:val="00934973"/>
    <w:rsid w:val="00934D82"/>
    <w:rsid w:val="00941313"/>
    <w:rsid w:val="0094157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7B18"/>
    <w:rsid w:val="009D05A2"/>
    <w:rsid w:val="009E0D56"/>
    <w:rsid w:val="009E0F53"/>
    <w:rsid w:val="009E4C6D"/>
    <w:rsid w:val="009F1832"/>
    <w:rsid w:val="009F1B81"/>
    <w:rsid w:val="009F281B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3E11"/>
    <w:rsid w:val="00A34330"/>
    <w:rsid w:val="00A34A46"/>
    <w:rsid w:val="00A409BB"/>
    <w:rsid w:val="00A438AE"/>
    <w:rsid w:val="00A442E8"/>
    <w:rsid w:val="00A50197"/>
    <w:rsid w:val="00A513E5"/>
    <w:rsid w:val="00A52D5C"/>
    <w:rsid w:val="00A56DD0"/>
    <w:rsid w:val="00A62417"/>
    <w:rsid w:val="00A658FF"/>
    <w:rsid w:val="00A674EA"/>
    <w:rsid w:val="00A722CB"/>
    <w:rsid w:val="00A725C3"/>
    <w:rsid w:val="00A7339C"/>
    <w:rsid w:val="00A74F44"/>
    <w:rsid w:val="00A7771A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52C"/>
    <w:rsid w:val="00AF6C04"/>
    <w:rsid w:val="00AF78BC"/>
    <w:rsid w:val="00B01846"/>
    <w:rsid w:val="00B02A9A"/>
    <w:rsid w:val="00B02F83"/>
    <w:rsid w:val="00B05DB0"/>
    <w:rsid w:val="00B06BF9"/>
    <w:rsid w:val="00B0753D"/>
    <w:rsid w:val="00B12AEC"/>
    <w:rsid w:val="00B1458C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685B"/>
    <w:rsid w:val="00B37242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46F7"/>
    <w:rsid w:val="00B7507A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4121"/>
    <w:rsid w:val="00BB48B5"/>
    <w:rsid w:val="00BB7CCF"/>
    <w:rsid w:val="00BC153A"/>
    <w:rsid w:val="00BD0DC0"/>
    <w:rsid w:val="00BD143A"/>
    <w:rsid w:val="00BD4E54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3554"/>
    <w:rsid w:val="00C24CCA"/>
    <w:rsid w:val="00C302E2"/>
    <w:rsid w:val="00C3136B"/>
    <w:rsid w:val="00C318BA"/>
    <w:rsid w:val="00C32193"/>
    <w:rsid w:val="00C34B5B"/>
    <w:rsid w:val="00C362E6"/>
    <w:rsid w:val="00C37304"/>
    <w:rsid w:val="00C37706"/>
    <w:rsid w:val="00C37DD9"/>
    <w:rsid w:val="00C418C3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2393"/>
    <w:rsid w:val="00CB2D68"/>
    <w:rsid w:val="00CB42D2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D7E4B"/>
    <w:rsid w:val="00CE3EAF"/>
    <w:rsid w:val="00CE412B"/>
    <w:rsid w:val="00CE436D"/>
    <w:rsid w:val="00D01E5A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7508"/>
    <w:rsid w:val="00D715BA"/>
    <w:rsid w:val="00D71C35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588A"/>
    <w:rsid w:val="00DC04FA"/>
    <w:rsid w:val="00DC38A0"/>
    <w:rsid w:val="00DC701E"/>
    <w:rsid w:val="00DC78F6"/>
    <w:rsid w:val="00DD0749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4DE"/>
    <w:rsid w:val="00E476DA"/>
    <w:rsid w:val="00E477CB"/>
    <w:rsid w:val="00E50368"/>
    <w:rsid w:val="00E51ADB"/>
    <w:rsid w:val="00E528BC"/>
    <w:rsid w:val="00E537EA"/>
    <w:rsid w:val="00E55386"/>
    <w:rsid w:val="00E56888"/>
    <w:rsid w:val="00E572D9"/>
    <w:rsid w:val="00E62C64"/>
    <w:rsid w:val="00E67872"/>
    <w:rsid w:val="00E7354E"/>
    <w:rsid w:val="00E80723"/>
    <w:rsid w:val="00E81CA2"/>
    <w:rsid w:val="00E8251B"/>
    <w:rsid w:val="00E92B2B"/>
    <w:rsid w:val="00E93616"/>
    <w:rsid w:val="00E947FC"/>
    <w:rsid w:val="00EA0BCE"/>
    <w:rsid w:val="00EA1A22"/>
    <w:rsid w:val="00EA760C"/>
    <w:rsid w:val="00EB109B"/>
    <w:rsid w:val="00EB1A48"/>
    <w:rsid w:val="00EB2ED9"/>
    <w:rsid w:val="00EB6EC7"/>
    <w:rsid w:val="00EC2447"/>
    <w:rsid w:val="00EC541F"/>
    <w:rsid w:val="00EC78A8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5BAE"/>
    <w:rsid w:val="00F36F76"/>
    <w:rsid w:val="00F43856"/>
    <w:rsid w:val="00F45A1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CD2139-DB8C-4AE7-9033-051BD9E4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82EA4-9962-4832-8690-4256E88D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3957</Words>
  <Characters>21373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4</cp:revision>
  <cp:lastPrinted>2018-10-19T21:50:00Z</cp:lastPrinted>
  <dcterms:created xsi:type="dcterms:W3CDTF">2018-11-20T22:00:00Z</dcterms:created>
  <dcterms:modified xsi:type="dcterms:W3CDTF">2018-11-22T18:38:00Z</dcterms:modified>
</cp:coreProperties>
</file>