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6A1846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C53D2A" w:rsidRPr="007C0E18" w:rsidRDefault="00C53D2A" w:rsidP="006A18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C53D2A" w:rsidRDefault="00C53D2A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Default="00C53D2A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7C0E18" w:rsidRDefault="00C53D2A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7C0E18" w:rsidRDefault="00C53D2A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4B1367" w:rsidRDefault="00C53D2A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EF054F" w:rsidRDefault="00C53D2A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D1385A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53D2A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C53D2A" w:rsidRDefault="00C53D2A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Pr="00C53D2A" w:rsidRDefault="006F65A1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  <w:r w:rsidRPr="00C53D2A">
        <w:rPr>
          <w:sz w:val="16"/>
        </w:rPr>
        <w:t xml:space="preserve"> </w:t>
      </w:r>
    </w:p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*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>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EA18E9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A18E9" w:rsidRDefault="00EA18E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2E14B4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7DD9" w:rsidRDefault="00EA18E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A18E9" w:rsidRDefault="00EA18E9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A18E9" w:rsidRDefault="00EA18E9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A18E9" w:rsidRDefault="00EA18E9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5A4FAE" w:rsidRDefault="00EA18E9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EA18E9" w:rsidRDefault="00EA18E9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(*) No período de 11/02 a 11/06/2021 (Ato nº 35/2021-CR).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>COM PREJUÍZO DA JURISDIÇÃO ORIGINÁRIA *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09010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*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A18E9" w:rsidRPr="003364F3" w:rsidRDefault="00EA18E9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A18E9" w:rsidRPr="002D4057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Pr="005D60CC" w:rsidRDefault="00EA18E9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A18E9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A18E9" w:rsidRPr="007D5A02" w:rsidRDefault="00EA18E9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C17647" w:rsidRDefault="00FB3C0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responder pela 11ª Vara/PB - com prejuízo da jurisdição da 5ª Vara/PB – durante o período de 12/04 a 02/06/2021 (Ato 83/2021-CR).</w:t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AE468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BE057D" w:rsidRDefault="00BE057D" w:rsidP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1ª VARA/PE E MEMBRO SUPLENTE DA 2ª TURMA RECURSAL/PE, </w:t>
            </w:r>
            <w:r w:rsidRPr="000031EA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0031EA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E057D" w:rsidRPr="000031EA" w:rsidRDefault="00BE057D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31EA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0031EA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031EA">
              <w:rPr>
                <w:rFonts w:ascii="Arial" w:hAnsi="Arial"/>
                <w:sz w:val="16"/>
              </w:rPr>
              <w:t xml:space="preserve">JUIZ FEDERAL SUBSTITUTO DA 2ª VARA/PE DESIGNADO PARA PRESTAR AUXÍLIO NA 14ª VARA/PE, </w:t>
            </w:r>
            <w:r w:rsidRPr="000031EA">
              <w:rPr>
                <w:rFonts w:ascii="Arial" w:hAnsi="Arial"/>
                <w:sz w:val="16"/>
                <w:highlight w:val="lightGray"/>
                <w:u w:val="single"/>
              </w:rPr>
              <w:t>COM PREJUÍZO</w:t>
            </w:r>
            <w:r w:rsidRPr="000031EA"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 w:rsidTr="006C58A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6C58AD" w:rsidRDefault="00BE057D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8322C9" w:rsidRDefault="00BE057D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BE057D" w:rsidRPr="00F45A16" w:rsidRDefault="00BE057D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E057D" w:rsidRDefault="00BE057D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E057D" w:rsidRDefault="00BE057D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BE057D" w:rsidRPr="00845C90" w:rsidRDefault="00BE057D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0031E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:rsidR="00BE057D" w:rsidRDefault="00BE057D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</w:t>
            </w:r>
            <w:r w:rsidRPr="000031EA">
              <w:rPr>
                <w:rFonts w:ascii="Arial" w:hAnsi="Arial"/>
                <w:sz w:val="16"/>
                <w:highlight w:val="lightGray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F01D60" w:rsidRDefault="00BE057D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700C83" w:rsidRDefault="00BE057D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E057D" w:rsidRDefault="00BE057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1C2B25" w:rsidRDefault="00BE057D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EC73A2" w:rsidRDefault="00BE057D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</w:t>
            </w:r>
            <w:r w:rsidRPr="000031EA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7561B5" w:rsidRDefault="00BE057D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FE6AD1" w:rsidRDefault="00BE057D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Pr="00C17647" w:rsidRDefault="00BE057D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Pr="00C17647" w:rsidRDefault="00BE057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20ª VARA/PE DESIGNADO PARA RESPONDER PELA 20ª VARA/PE, </w:t>
            </w:r>
            <w:r w:rsidRPr="000031EA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BE057D" w:rsidRDefault="00BE057D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Pr="00E200E8" w:rsidRDefault="00BE057D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E057D" w:rsidRDefault="00BE057D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6C58A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6C58AD" w:rsidRDefault="00BE057D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Default="00BE057D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E057D" w:rsidRDefault="00BE057D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E057D" w:rsidRDefault="00BE057D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Pr="00700C83" w:rsidRDefault="00BE057D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Pr="00700C83" w:rsidRDefault="00BE057D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Pr="000031EA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E057D" w:rsidRDefault="00BE057D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:rsidR="00BE057D" w:rsidRDefault="00BE057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0031EA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Pr="000031EA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31EA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057D" w:rsidRPr="000031EA" w:rsidRDefault="00BE057D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31EA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Default="00BE057D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0031EA">
              <w:rPr>
                <w:rFonts w:ascii="Arial" w:hAnsi="Arial"/>
                <w:sz w:val="16"/>
              </w:rPr>
              <w:br/>
            </w:r>
            <w:r w:rsidRPr="000031EA">
              <w:rPr>
                <w:rFonts w:ascii="Arial" w:hAnsi="Arial"/>
                <w:sz w:val="16"/>
                <w:highlight w:val="lightGray"/>
              </w:rPr>
              <w:t>COM PREJUÍZO</w:t>
            </w:r>
            <w:r w:rsidRPr="00FE6AD1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BE057D" w:rsidRDefault="00BE057D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DF5374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DF5374" w:rsidRDefault="00BE057D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700C83" w:rsidRDefault="00BE057D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25ª VARA/PE DESIGNADO PARA RESPONDER PELA 25ª VARA/PE, </w:t>
            </w:r>
            <w:r w:rsidRPr="000031EA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BE057D" w:rsidRDefault="00BE057D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Pr="009B12FC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Pr="009B12FC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Default="00BE057D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146DCC" w:rsidRDefault="00BE057D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E057D" w:rsidTr="00BB22AF">
        <w:trPr>
          <w:cantSplit/>
        </w:trPr>
        <w:tc>
          <w:tcPr>
            <w:tcW w:w="665" w:type="dxa"/>
            <w:vMerge/>
            <w:vAlign w:val="center"/>
          </w:tcPr>
          <w:p w:rsidR="00BE057D" w:rsidRPr="009B12FC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Pr="009B12FC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Default="00BE057D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700C83" w:rsidRDefault="00BE057D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BE057D" w:rsidRPr="009B12FC" w:rsidRDefault="00BE057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1A740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E057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1A61D1" w:rsidRDefault="00BE057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Default="00BE057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C37DD9" w:rsidRDefault="00BE057D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Default="00BE057D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BE057D" w:rsidRDefault="00BE057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E057D" w:rsidRDefault="00BE057D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E057D" w:rsidRPr="00A958E3" w:rsidRDefault="00BE057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BE057D" w:rsidRDefault="00BE057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171DFD" w:rsidRDefault="00BE057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A958E3" w:rsidRDefault="00BE057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BE057D" w:rsidRDefault="00BE057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ARNEIRO PORTO DE BARROS</w:t>
            </w:r>
          </w:p>
        </w:tc>
        <w:tc>
          <w:tcPr>
            <w:tcW w:w="5886" w:type="dxa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Pr="006F6995" w:rsidRDefault="00BE057D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E057D" w:rsidRPr="00700C83" w:rsidRDefault="00BE057D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E057D" w:rsidRDefault="00BE057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E057D" w:rsidRDefault="00BE057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E057D" w:rsidRDefault="00BE057D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Pr="007E4186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Pr="007E4186" w:rsidRDefault="00BE057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Pr="007E4186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E057D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 w:rsidTr="00A958E3">
        <w:trPr>
          <w:cantSplit/>
        </w:trPr>
        <w:tc>
          <w:tcPr>
            <w:tcW w:w="665" w:type="dxa"/>
            <w:vMerge/>
            <w:vAlign w:val="center"/>
          </w:tcPr>
          <w:p w:rsidR="00BE057D" w:rsidRPr="007E4186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Pr="007E4186" w:rsidRDefault="00BE057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A958E3" w:rsidRDefault="00BE057D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57D" w:rsidRPr="0009453B" w:rsidRDefault="00BE057D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E057D" w:rsidRDefault="00BE057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E057D" w:rsidRDefault="00BE057D" w:rsidP="0063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 E PARA EXERCER FUNÇÕES DE SUBSTITUIÇÃO NA 2ª RELATORIA DA 2ª TURMA RECURSAL/PE, </w:t>
            </w:r>
            <w:r w:rsidRPr="000031EA">
              <w:rPr>
                <w:rFonts w:ascii="Arial" w:hAnsi="Arial"/>
                <w:sz w:val="16"/>
                <w:u w:val="single"/>
              </w:rPr>
              <w:t>SEM PREJUÍZO</w:t>
            </w:r>
            <w:r w:rsidRPr="0009453B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 JURISDIÇÃO ORIGINÁRIA *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BE057D" w:rsidRDefault="00BE057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E057D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E057D" w:rsidRDefault="00BE057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BE057D" w:rsidRDefault="00BE057D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BE057D" w:rsidRPr="00C33D15" w:rsidRDefault="00BE057D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BE057D" w:rsidRDefault="00BE057D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Pr="00F620B4" w:rsidRDefault="00313FCB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exercer funções de auxílio na 2ª Relatoria da 2ª Turma Recursal/PE, no período de 23/04 a 30/06/2021 (ato 85/2021-CR).</w:t>
      </w: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CE7ED1">
        <w:rPr>
          <w:rFonts w:ascii="Arial" w:hAnsi="Arial"/>
          <w:snapToGrid w:val="0"/>
          <w:sz w:val="16"/>
        </w:rPr>
        <w:t>*</w:t>
      </w:r>
      <w:r w:rsidR="00313FCB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09010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09010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D0416A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294B1B">
        <w:rPr>
          <w:rFonts w:ascii="Arial" w:hAnsi="Arial"/>
          <w:snapToGrid w:val="0"/>
          <w:sz w:val="16"/>
        </w:rPr>
        <w:t>(</w:t>
      </w:r>
      <w:r w:rsidR="00CE63F2" w:rsidRPr="00294B1B">
        <w:rPr>
          <w:rFonts w:ascii="Arial" w:hAnsi="Arial"/>
          <w:snapToGrid w:val="0"/>
          <w:sz w:val="16"/>
        </w:rPr>
        <w:t>*</w:t>
      </w:r>
      <w:r w:rsidRPr="00294B1B">
        <w:rPr>
          <w:rFonts w:ascii="Arial" w:hAnsi="Arial"/>
          <w:snapToGrid w:val="0"/>
          <w:sz w:val="16"/>
        </w:rPr>
        <w:t xml:space="preserve">) No período de </w:t>
      </w:r>
      <w:r w:rsidR="00A30D14">
        <w:rPr>
          <w:rFonts w:ascii="Arial" w:hAnsi="Arial"/>
          <w:snapToGrid w:val="0"/>
          <w:sz w:val="16"/>
        </w:rPr>
        <w:t>11/04</w:t>
      </w:r>
      <w:r w:rsidR="0053053D">
        <w:rPr>
          <w:rFonts w:ascii="Arial" w:hAnsi="Arial"/>
          <w:snapToGrid w:val="0"/>
          <w:sz w:val="16"/>
        </w:rPr>
        <w:t xml:space="preserve"> a</w:t>
      </w:r>
      <w:r w:rsidR="00A30D14">
        <w:rPr>
          <w:rFonts w:ascii="Arial" w:hAnsi="Arial"/>
          <w:snapToGrid w:val="0"/>
          <w:sz w:val="16"/>
        </w:rPr>
        <w:t xml:space="preserve"> 03/06</w:t>
      </w:r>
      <w:r w:rsidRPr="00294B1B">
        <w:rPr>
          <w:rFonts w:ascii="Arial" w:hAnsi="Arial"/>
          <w:snapToGrid w:val="0"/>
          <w:sz w:val="16"/>
        </w:rPr>
        <w:t xml:space="preserve">/2021 (Ato nº </w:t>
      </w:r>
      <w:r w:rsidR="006F65A1">
        <w:rPr>
          <w:rFonts w:ascii="Arial" w:hAnsi="Arial"/>
          <w:snapToGrid w:val="0"/>
          <w:sz w:val="16"/>
        </w:rPr>
        <w:t>68</w:t>
      </w:r>
      <w:r w:rsidRPr="00294B1B">
        <w:rPr>
          <w:rFonts w:ascii="Arial" w:hAnsi="Arial"/>
          <w:snapToGrid w:val="0"/>
          <w:sz w:val="16"/>
        </w:rPr>
        <w:t>/2021-CR)</w:t>
      </w:r>
      <w:r w:rsidR="006A1846">
        <w:rPr>
          <w:rFonts w:ascii="Arial" w:hAnsi="Arial"/>
          <w:snapToGrid w:val="0"/>
          <w:sz w:val="16"/>
        </w:rPr>
        <w:t>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2D7D6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2D7D69">
              <w:rPr>
                <w:rFonts w:ascii="Arial" w:hAnsi="Arial" w:cs="Arial"/>
                <w:b/>
                <w:bCs/>
                <w:sz w:val="20"/>
              </w:rPr>
              <w:t>23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0901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0901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0E73B6" w:rsidRDefault="00633260" w:rsidP="0009010E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633260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23/04/2021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85/2021-CR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rPr>
                <w:rFonts w:ascii="Arial" w:hAnsi="Arial" w:cs="Arial"/>
                <w:sz w:val="16"/>
              </w:rPr>
            </w:pPr>
          </w:p>
        </w:tc>
      </w:tr>
      <w:tr w:rsidR="00633260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544821" w:rsidRDefault="00633260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63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E52949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41" w:rsidRDefault="007C7941">
      <w:r>
        <w:separator/>
      </w:r>
    </w:p>
  </w:endnote>
  <w:endnote w:type="continuationSeparator" w:id="0">
    <w:p w:rsidR="007C7941" w:rsidRDefault="007C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41" w:rsidRDefault="007C7941">
      <w:r>
        <w:separator/>
      </w:r>
    </w:p>
  </w:footnote>
  <w:footnote w:type="continuationSeparator" w:id="0">
    <w:p w:rsidR="007C7941" w:rsidRDefault="007C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A1846" w:rsidRDefault="006A1846">
    <w:pPr>
      <w:pStyle w:val="Cabealho"/>
      <w:rPr>
        <w:b/>
        <w:sz w:val="24"/>
      </w:rPr>
    </w:pPr>
  </w:p>
  <w:p w:rsidR="006A1846" w:rsidRDefault="006A184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A1846" w:rsidRPr="00A75CE7" w:rsidRDefault="006A184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B61471">
      <w:rPr>
        <w:rFonts w:ascii="Arial" w:hAnsi="Arial"/>
        <w:b/>
      </w:rPr>
      <w:t>2</w:t>
    </w:r>
    <w:r w:rsidR="00BE057D">
      <w:rPr>
        <w:rFonts w:ascii="Arial" w:hAnsi="Arial"/>
        <w:b/>
      </w:rPr>
      <w:t>8</w:t>
    </w:r>
    <w:r>
      <w:rPr>
        <w:rFonts w:ascii="Arial" w:hAnsi="Arial"/>
        <w:b/>
      </w:rPr>
      <w:t>/04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1EA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18E"/>
    <w:rsid w:val="001C2B25"/>
    <w:rsid w:val="001C3A24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C7941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4A225"/>
  <w15:docId w15:val="{2A60EFCA-8C9D-4E27-A9C0-12A6A758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6A85D-799F-4965-8DAF-64304109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4551</Words>
  <Characters>24580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2019-04-04T21:20:00Z</cp:lastPrinted>
  <dcterms:created xsi:type="dcterms:W3CDTF">2021-05-03T17:50:00Z</dcterms:created>
  <dcterms:modified xsi:type="dcterms:W3CDTF">2021-05-03T19:01:00Z</dcterms:modified>
</cp:coreProperties>
</file>