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FE" w:rsidRDefault="00DF42FE" w:rsidP="00DF42FE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DF42FE" w:rsidRDefault="00DF42FE" w:rsidP="00AA017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proofErr w:type="gramStart"/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</w:t>
      </w:r>
      <w:proofErr w:type="gramEnd"/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 xml:space="preserve"> ª vara</w:t>
      </w:r>
    </w:p>
    <w:p w:rsidR="00B365E6" w:rsidRPr="00DF42FE" w:rsidRDefault="00DF42FE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DF42FE">
        <w:rPr>
          <w:rFonts w:ascii="Verdana" w:hAnsi="Verdana" w:cs="Tahoma"/>
          <w:b/>
          <w:bCs/>
          <w:sz w:val="18"/>
          <w:lang w:val="pt-BR"/>
        </w:rPr>
        <w:t>Competência:</w:t>
      </w:r>
      <w:r w:rsidRPr="00DF42FE">
        <w:rPr>
          <w:rFonts w:ascii="Verdana" w:hAnsi="Verdana" w:cs="Tahoma"/>
          <w:sz w:val="18"/>
          <w:szCs w:val="18"/>
          <w:lang w:val="pt-BR"/>
        </w:rPr>
        <w:t xml:space="preserve"> Cível</w:t>
      </w:r>
    </w:p>
    <w:p w:rsidR="00DF42FE" w:rsidRPr="00DF42FE" w:rsidRDefault="00DF42FE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proofErr w:type="spellStart"/>
      <w:r w:rsidRPr="00DF42FE">
        <w:rPr>
          <w:rFonts w:ascii="Verdana" w:hAnsi="Verdana" w:cs="Tahoma"/>
          <w:b/>
          <w:bCs/>
          <w:sz w:val="18"/>
          <w:szCs w:val="18"/>
          <w:lang w:val="pt-BR"/>
        </w:rPr>
        <w:t>Privativa-Especializada</w:t>
      </w:r>
      <w:proofErr w:type="spellEnd"/>
      <w:r w:rsidRPr="00DF42FE">
        <w:rPr>
          <w:rFonts w:ascii="Verdana" w:hAnsi="Verdana" w:cs="Tahoma"/>
          <w:b/>
          <w:bCs/>
          <w:sz w:val="18"/>
          <w:szCs w:val="18"/>
          <w:lang w:val="pt-BR"/>
        </w:rPr>
        <w:t xml:space="preserve">: </w:t>
      </w:r>
      <w:hyperlink r:id="rId4" w:tgtFrame="_blank" w:history="1">
        <w:r w:rsidRPr="00DF42FE">
          <w:rPr>
            <w:rStyle w:val="Hyperlink"/>
            <w:rFonts w:ascii="Verdana" w:hAnsi="Verdana" w:cs="Tahoma"/>
            <w:sz w:val="18"/>
            <w:szCs w:val="18"/>
            <w:lang w:val="pt-BR"/>
          </w:rPr>
          <w:t>Naturalização e Opção de Nacionalidade Lei nº 6.815, 19/08/1980 - art.119º, parágrafo 1º</w:t>
        </w:r>
        <w:proofErr w:type="gramStart"/>
      </w:hyperlink>
      <w:proofErr w:type="gramEnd"/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DF42FE" w:rsidRDefault="00DF42FE" w:rsidP="00AA017E">
      <w:pPr>
        <w:pStyle w:val="SemEspaamento"/>
        <w:rPr>
          <w:rFonts w:ascii="Verdana" w:hAnsi="Verdana" w:cs="Tahoma"/>
          <w:sz w:val="18"/>
          <w:szCs w:val="18"/>
        </w:rPr>
      </w:pPr>
      <w:proofErr w:type="spellStart"/>
      <w:r w:rsidRPr="00DF42FE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DF42FE">
        <w:rPr>
          <w:rFonts w:ascii="Verdana" w:hAnsi="Verdana" w:cs="Tahoma"/>
          <w:b/>
          <w:bCs/>
          <w:sz w:val="18"/>
        </w:rPr>
        <w:t>:</w:t>
      </w:r>
      <w:r w:rsidRPr="00DF42FE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DF42FE">
        <w:rPr>
          <w:rFonts w:ascii="Verdana" w:hAnsi="Verdana" w:cs="Tahoma"/>
          <w:sz w:val="18"/>
          <w:szCs w:val="18"/>
        </w:rPr>
        <w:t>Cível</w:t>
      </w:r>
      <w:proofErr w:type="spellEnd"/>
    </w:p>
    <w:p w:rsidR="00DF42FE" w:rsidRDefault="00DF42FE" w:rsidP="00AA017E">
      <w:pPr>
        <w:pStyle w:val="SemEspaamento"/>
        <w:rPr>
          <w:rFonts w:ascii="Verdana" w:hAnsi="Verdana" w:cs="Tahoma"/>
          <w:sz w:val="18"/>
          <w:szCs w:val="18"/>
        </w:rPr>
      </w:pPr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3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DF42FE" w:rsidRDefault="00DF42FE" w:rsidP="00DF42FE">
      <w:pPr>
        <w:pStyle w:val="SemEspaamento"/>
        <w:rPr>
          <w:rFonts w:ascii="Verdana" w:hAnsi="Verdana" w:cs="Tahoma"/>
          <w:sz w:val="18"/>
          <w:szCs w:val="18"/>
        </w:rPr>
      </w:pPr>
      <w:proofErr w:type="spellStart"/>
      <w:r w:rsidRPr="00DF42FE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DF42FE">
        <w:rPr>
          <w:rFonts w:ascii="Verdana" w:hAnsi="Verdana" w:cs="Tahoma"/>
          <w:b/>
          <w:bCs/>
          <w:sz w:val="18"/>
        </w:rPr>
        <w:t>:</w:t>
      </w:r>
      <w:r w:rsidRPr="00DF42FE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DF42FE">
        <w:rPr>
          <w:rFonts w:ascii="Verdana" w:hAnsi="Verdana" w:cs="Tahoma"/>
          <w:sz w:val="18"/>
          <w:szCs w:val="18"/>
        </w:rPr>
        <w:t>Cível</w:t>
      </w:r>
      <w:proofErr w:type="spellEnd"/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4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DF42FE" w:rsidRDefault="00DF42FE" w:rsidP="00DF42FE">
      <w:pPr>
        <w:rPr>
          <w:b/>
          <w:bCs/>
          <w:lang w:val="pt-BR"/>
        </w:rPr>
      </w:pPr>
    </w:p>
    <w:p w:rsidR="00DF42FE" w:rsidRDefault="00DF42FE" w:rsidP="00DF42FE">
      <w:pPr>
        <w:rPr>
          <w:rFonts w:ascii="Verdana" w:hAnsi="Verdana"/>
          <w:sz w:val="18"/>
          <w:szCs w:val="18"/>
          <w:lang w:val="pt-BR"/>
        </w:rPr>
      </w:pPr>
      <w:r w:rsidRPr="00DF42FE">
        <w:rPr>
          <w:b/>
          <w:bCs/>
          <w:lang w:val="pt-BR"/>
        </w:rPr>
        <w:t xml:space="preserve">Competência: </w:t>
      </w:r>
      <w:r w:rsidRPr="00DF42FE">
        <w:rPr>
          <w:lang w:val="pt-BR"/>
        </w:rPr>
        <w:t>Penal</w:t>
      </w:r>
      <w:hyperlink r:id="rId5" w:tgtFrame="_blank" w:history="1">
        <w:r w:rsidRPr="00DF42FE">
          <w:rPr>
            <w:rFonts w:ascii="Verdana" w:hAnsi="Verdana"/>
            <w:color w:val="222222"/>
            <w:sz w:val="18"/>
            <w:szCs w:val="18"/>
            <w:lang w:val="pt-BR"/>
          </w:rPr>
          <w:br/>
          <w:t xml:space="preserve">Resolução TRF-5ª Região nº 04, 21/03/2001 </w:t>
        </w:r>
      </w:hyperlink>
      <w:r w:rsidRPr="00DF42FE">
        <w:rPr>
          <w:rFonts w:ascii="Verdana" w:hAnsi="Verdana"/>
          <w:sz w:val="18"/>
          <w:szCs w:val="18"/>
          <w:lang w:val="pt-BR"/>
        </w:rPr>
        <w:br/>
      </w:r>
      <w:proofErr w:type="spellStart"/>
      <w:r w:rsidRPr="00DF42FE">
        <w:rPr>
          <w:rFonts w:ascii="Verdana" w:hAnsi="Verdana"/>
          <w:sz w:val="18"/>
          <w:szCs w:val="18"/>
          <w:lang w:val="pt-BR"/>
        </w:rPr>
        <w:t>Publ</w:t>
      </w:r>
      <w:proofErr w:type="spellEnd"/>
      <w:r w:rsidRPr="00DF42FE">
        <w:rPr>
          <w:rFonts w:ascii="Verdana" w:hAnsi="Verdana"/>
          <w:sz w:val="18"/>
          <w:szCs w:val="18"/>
          <w:lang w:val="pt-BR"/>
        </w:rPr>
        <w:t>. DJU (II) 02/04/2001</w:t>
      </w:r>
      <w:r w:rsidRPr="00DF42FE">
        <w:rPr>
          <w:rFonts w:ascii="Verdana" w:hAnsi="Verdana"/>
          <w:sz w:val="18"/>
          <w:szCs w:val="18"/>
          <w:lang w:val="pt-BR"/>
        </w:rPr>
        <w:br/>
        <w:t xml:space="preserve">Resolução TRF-5Rª nº 27, 25/11/2009 </w:t>
      </w:r>
      <w:r w:rsidRPr="00DF42FE">
        <w:rPr>
          <w:rFonts w:ascii="Verdana" w:hAnsi="Verdana"/>
          <w:sz w:val="18"/>
          <w:szCs w:val="18"/>
          <w:lang w:val="pt-BR"/>
        </w:rPr>
        <w:br/>
        <w:t>Consolida a competência das Varas Federais da 5ª Região.</w:t>
      </w:r>
      <w:r w:rsidRPr="00DF42FE">
        <w:rPr>
          <w:rFonts w:ascii="Verdana" w:hAnsi="Verdana"/>
          <w:sz w:val="18"/>
          <w:szCs w:val="18"/>
          <w:lang w:val="pt-BR"/>
        </w:rPr>
        <w:br/>
      </w:r>
      <w:proofErr w:type="spellStart"/>
      <w:r w:rsidRPr="00DF42FE">
        <w:rPr>
          <w:rFonts w:ascii="Verdana" w:hAnsi="Verdana"/>
          <w:sz w:val="18"/>
          <w:szCs w:val="18"/>
          <w:lang w:val="pt-BR"/>
        </w:rPr>
        <w:t>Publ</w:t>
      </w:r>
      <w:proofErr w:type="spellEnd"/>
      <w:r w:rsidRPr="00DF42FE">
        <w:rPr>
          <w:rFonts w:ascii="Verdana" w:hAnsi="Verdana"/>
          <w:sz w:val="18"/>
          <w:szCs w:val="18"/>
          <w:lang w:val="pt-BR"/>
        </w:rPr>
        <w:t>. DJU, 01/12/2009, p. 193</w:t>
      </w:r>
    </w:p>
    <w:p w:rsidR="00DF42FE" w:rsidRPr="00DF42FE" w:rsidRDefault="00DF42FE" w:rsidP="00DF42FE">
      <w:pPr>
        <w:rPr>
          <w:rFonts w:ascii="Verdana" w:hAnsi="Verdana"/>
          <w:b/>
          <w:bCs/>
          <w:color w:val="7030A0"/>
          <w:sz w:val="18"/>
          <w:szCs w:val="18"/>
          <w:lang w:val="pt-BR"/>
        </w:rPr>
      </w:pPr>
    </w:p>
    <w:p w:rsidR="00DF42FE" w:rsidRPr="00DF42FE" w:rsidRDefault="00DF42FE" w:rsidP="00DF42FE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DF42FE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Privativa-Especializada: </w:t>
      </w:r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>Especialização para processar e julgar crimes contra o Sistema Financeiro Nacional e de lavagem ou ocultação de bens direitos e valores.</w:t>
      </w:r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hyperlink r:id="rId6" w:history="1">
        <w:r w:rsidRPr="00DF42FE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Resolução TRF-5ª Região nº 10-A, 11/06/2003</w:t>
        </w:r>
      </w:hyperlink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proofErr w:type="spellStart"/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. </w:t>
      </w:r>
      <w:proofErr w:type="gramStart"/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>DJU(</w:t>
      </w:r>
      <w:proofErr w:type="gramEnd"/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>II) 14/05/2004.</w:t>
      </w:r>
    </w:p>
    <w:p w:rsidR="00DF42FE" w:rsidRPr="00DF42FE" w:rsidRDefault="00DF42FE" w:rsidP="00DF42FE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Resolução TRF-5Rª nº 27, 25/11/2009 </w:t>
      </w:r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br/>
        <w:t xml:space="preserve">Consolida a competência das Varas Federais da 5ª </w:t>
      </w:r>
      <w:proofErr w:type="gramStart"/>
      <w:r w:rsidRPr="00DF42FE">
        <w:rPr>
          <w:rFonts w:ascii="Verdana" w:eastAsia="Times New Roman" w:hAnsi="Verdana"/>
          <w:sz w:val="18"/>
          <w:szCs w:val="18"/>
          <w:lang w:val="pt-BR" w:eastAsia="pt-BR" w:bidi="ar-SA"/>
        </w:rPr>
        <w:t>Região</w:t>
      </w:r>
      <w:proofErr w:type="gramEnd"/>
    </w:p>
    <w:p w:rsidR="00DF42FE" w:rsidRPr="00DF42FE" w:rsidRDefault="00DF42FE" w:rsidP="00DF42FE">
      <w:pPr>
        <w:rPr>
          <w:rFonts w:ascii="Verdana" w:hAnsi="Verdana"/>
          <w:b/>
          <w:bCs/>
          <w:color w:val="7030A0"/>
          <w:sz w:val="18"/>
          <w:szCs w:val="18"/>
          <w:lang w:val="pt-BR"/>
        </w:rPr>
      </w:pPr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5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DF42FE" w:rsidRDefault="00DF42FE" w:rsidP="00DF42F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C13C7A">
        <w:rPr>
          <w:rFonts w:ascii="Verdana" w:hAnsi="Verdana" w:cs="Tahoma"/>
          <w:b/>
          <w:bCs/>
          <w:sz w:val="18"/>
          <w:lang w:val="pt-BR"/>
        </w:rPr>
        <w:t xml:space="preserve">Competência: </w:t>
      </w:r>
      <w:r w:rsidRPr="00C13C7A">
        <w:rPr>
          <w:rFonts w:ascii="Verdana" w:hAnsi="Verdana" w:cs="Tahoma"/>
          <w:sz w:val="18"/>
          <w:szCs w:val="18"/>
          <w:lang w:val="pt-BR"/>
        </w:rPr>
        <w:t>Cível</w:t>
      </w:r>
    </w:p>
    <w:p w:rsidR="00C13C7A" w:rsidRDefault="00C13C7A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DF42FE" w:rsidRDefault="00DF42FE" w:rsidP="00DF42F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6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  <w:r w:rsidRPr="00C13C7A">
        <w:rPr>
          <w:rFonts w:ascii="Verdana" w:hAnsi="Verdana" w:cs="Tahoma"/>
          <w:b/>
          <w:bCs/>
          <w:sz w:val="18"/>
          <w:lang w:val="pt-BR"/>
        </w:rPr>
        <w:t xml:space="preserve">Competência: </w:t>
      </w:r>
      <w:r w:rsidRPr="00C13C7A">
        <w:rPr>
          <w:rFonts w:ascii="Verdana" w:hAnsi="Verdana" w:cs="Tahoma"/>
          <w:sz w:val="18"/>
          <w:szCs w:val="18"/>
          <w:lang w:val="pt-BR"/>
        </w:rPr>
        <w:t>Cível</w:t>
      </w:r>
    </w:p>
    <w:p w:rsid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C13C7A" w:rsidRDefault="00C13C7A" w:rsidP="00C13C7A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7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DF42FE" w:rsidRP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  <w:r w:rsidRPr="00C13C7A">
        <w:rPr>
          <w:rFonts w:ascii="Verdana" w:hAnsi="Verdana" w:cs="Tahoma"/>
          <w:b/>
          <w:bCs/>
          <w:sz w:val="18"/>
          <w:lang w:val="pt-BR"/>
        </w:rPr>
        <w:t xml:space="preserve">Competência: </w:t>
      </w:r>
      <w:r w:rsidRPr="00C13C7A">
        <w:rPr>
          <w:rFonts w:ascii="Verdana" w:hAnsi="Verdana" w:cs="Tahoma"/>
          <w:sz w:val="18"/>
          <w:szCs w:val="18"/>
          <w:lang w:val="pt-BR"/>
        </w:rPr>
        <w:t>Cível</w:t>
      </w:r>
    </w:p>
    <w:p w:rsidR="00C13C7A" w:rsidRP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C13C7A" w:rsidRDefault="00C13C7A" w:rsidP="00C13C7A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9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C13C7A" w:rsidRDefault="00C13C7A" w:rsidP="00DF42FE">
      <w:pPr>
        <w:rPr>
          <w:rFonts w:ascii="Verdana" w:hAnsi="Verdana" w:cs="Tahoma"/>
          <w:sz w:val="18"/>
          <w:szCs w:val="18"/>
          <w:lang w:val="pt-BR"/>
        </w:rPr>
      </w:pPr>
      <w:r w:rsidRPr="00C13C7A">
        <w:rPr>
          <w:rFonts w:ascii="Verdana" w:hAnsi="Verdana" w:cs="Tahoma"/>
          <w:b/>
          <w:bCs/>
          <w:sz w:val="18"/>
          <w:lang w:val="pt-BR"/>
        </w:rPr>
        <w:t xml:space="preserve">Competência: </w:t>
      </w:r>
      <w:r w:rsidRPr="00C13C7A">
        <w:rPr>
          <w:rFonts w:ascii="Verdana" w:hAnsi="Verdana" w:cs="Tahoma"/>
          <w:sz w:val="18"/>
          <w:szCs w:val="18"/>
          <w:lang w:val="pt-BR"/>
        </w:rPr>
        <w:t>Cível</w:t>
      </w:r>
    </w:p>
    <w:p w:rsidR="00C13C7A" w:rsidRDefault="00C13C7A" w:rsidP="00C13C7A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10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C13C7A" w:rsidRDefault="00F7798B" w:rsidP="00DF42FE">
      <w:pPr>
        <w:rPr>
          <w:rFonts w:ascii="Verdana" w:hAnsi="Verdana" w:cs="Tahoma"/>
          <w:sz w:val="18"/>
          <w:szCs w:val="18"/>
        </w:rPr>
      </w:pPr>
      <w:proofErr w:type="spellStart"/>
      <w:r w:rsidRPr="00F7798B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F7798B">
        <w:rPr>
          <w:rFonts w:ascii="Verdana" w:hAnsi="Verdana" w:cs="Tahoma"/>
          <w:b/>
          <w:bCs/>
          <w:sz w:val="18"/>
        </w:rPr>
        <w:t xml:space="preserve">: </w:t>
      </w:r>
      <w:proofErr w:type="spellStart"/>
      <w:r w:rsidRPr="00F7798B">
        <w:rPr>
          <w:rFonts w:ascii="Verdana" w:hAnsi="Verdana" w:cs="Tahoma"/>
          <w:sz w:val="18"/>
          <w:szCs w:val="18"/>
        </w:rPr>
        <w:t>Cível</w:t>
      </w:r>
      <w:proofErr w:type="spellEnd"/>
    </w:p>
    <w:p w:rsidR="00F7798B" w:rsidRDefault="00F7798B" w:rsidP="00DF42FE">
      <w:pPr>
        <w:rPr>
          <w:rFonts w:ascii="Verdana" w:hAnsi="Verdana" w:cs="Tahoma"/>
          <w:sz w:val="18"/>
          <w:szCs w:val="18"/>
        </w:rPr>
      </w:pPr>
    </w:p>
    <w:p w:rsidR="00F7798B" w:rsidRDefault="00F7798B" w:rsidP="00F7798B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11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F7798B" w:rsidRDefault="00F7798B" w:rsidP="00DF42FE">
      <w:pPr>
        <w:rPr>
          <w:rFonts w:ascii="Verdana" w:hAnsi="Verdana" w:cs="Tahoma"/>
          <w:sz w:val="18"/>
          <w:szCs w:val="18"/>
        </w:rPr>
      </w:pPr>
      <w:proofErr w:type="spellStart"/>
      <w:r w:rsidRPr="00F7798B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F7798B">
        <w:rPr>
          <w:rFonts w:ascii="Verdana" w:hAnsi="Verdana" w:cs="Tahoma"/>
          <w:b/>
          <w:bCs/>
          <w:sz w:val="18"/>
        </w:rPr>
        <w:t xml:space="preserve">: </w:t>
      </w:r>
      <w:proofErr w:type="spellStart"/>
      <w:r w:rsidRPr="00F7798B">
        <w:rPr>
          <w:rFonts w:ascii="Verdana" w:hAnsi="Verdana" w:cs="Tahoma"/>
          <w:sz w:val="18"/>
          <w:szCs w:val="18"/>
        </w:rPr>
        <w:t>Execução</w:t>
      </w:r>
      <w:proofErr w:type="spellEnd"/>
      <w:r w:rsidRPr="00F7798B">
        <w:rPr>
          <w:rFonts w:ascii="Verdana" w:hAnsi="Verdana" w:cs="Tahoma"/>
          <w:sz w:val="18"/>
          <w:szCs w:val="18"/>
        </w:rPr>
        <w:t xml:space="preserve"> Fiscal</w:t>
      </w:r>
    </w:p>
    <w:p w:rsidR="00F7798B" w:rsidRDefault="00F7798B" w:rsidP="00F7798B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F7798B" w:rsidRDefault="00F7798B" w:rsidP="00DF42FE">
      <w:pPr>
        <w:rPr>
          <w:rFonts w:ascii="Verdana" w:hAnsi="Verdana" w:cs="Tahoma"/>
          <w:sz w:val="18"/>
          <w:szCs w:val="18"/>
        </w:rPr>
      </w:pPr>
      <w:proofErr w:type="spellStart"/>
      <w:r w:rsidRPr="00F7798B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F7798B">
        <w:rPr>
          <w:rFonts w:ascii="Verdana" w:hAnsi="Verdana" w:cs="Tahoma"/>
          <w:b/>
          <w:bCs/>
          <w:sz w:val="18"/>
        </w:rPr>
        <w:t>:</w:t>
      </w:r>
      <w:r w:rsidRPr="00F7798B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F7798B">
        <w:rPr>
          <w:rFonts w:ascii="Verdana" w:hAnsi="Verdana" w:cs="Tahoma"/>
          <w:sz w:val="18"/>
          <w:szCs w:val="18"/>
        </w:rPr>
        <w:t>Cível</w:t>
      </w:r>
      <w:proofErr w:type="spellEnd"/>
    </w:p>
    <w:p w:rsidR="00DC39D6" w:rsidRDefault="00DC39D6" w:rsidP="00DC39D6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lastRenderedPageBreak/>
        <w:t>13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A224C4" w:rsidRDefault="00A224C4" w:rsidP="00DC39D6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DC39D6" w:rsidRPr="00DC39D6" w:rsidRDefault="00DC39D6" w:rsidP="00DC39D6">
      <w:pPr>
        <w:rPr>
          <w:rFonts w:ascii="Verdana" w:hAnsi="Verdana"/>
          <w:sz w:val="18"/>
          <w:szCs w:val="18"/>
          <w:lang w:val="pt-BR" w:eastAsia="pt-BR" w:bidi="ar-SA"/>
        </w:rPr>
      </w:pPr>
      <w:r w:rsidRPr="00A224C4">
        <w:rPr>
          <w:rFonts w:ascii="Verdana" w:hAnsi="Verdana"/>
          <w:b/>
          <w:sz w:val="18"/>
          <w:szCs w:val="18"/>
          <w:lang w:val="pt-BR" w:eastAsia="pt-BR" w:bidi="ar-SA"/>
        </w:rPr>
        <w:t>Competência</w:t>
      </w:r>
      <w:r w:rsidRPr="00DC39D6">
        <w:rPr>
          <w:rFonts w:ascii="Verdana" w:hAnsi="Verdana"/>
          <w:sz w:val="18"/>
          <w:szCs w:val="18"/>
          <w:lang w:val="pt-BR" w:eastAsia="pt-BR" w:bidi="ar-SA"/>
        </w:rPr>
        <w:t xml:space="preserve">: Penal </w:t>
      </w:r>
    </w:p>
    <w:p w:rsidR="00DC39D6" w:rsidRPr="00DC39D6" w:rsidRDefault="00DC39D6" w:rsidP="00DC39D6">
      <w:pPr>
        <w:rPr>
          <w:rFonts w:ascii="Verdana" w:hAnsi="Verdana"/>
          <w:sz w:val="18"/>
          <w:szCs w:val="18"/>
          <w:lang w:val="pt-BR" w:eastAsia="pt-BR" w:bidi="ar-SA"/>
        </w:rPr>
      </w:pPr>
      <w:hyperlink r:id="rId7" w:tgtFrame="_blank" w:history="1">
        <w:r w:rsidRPr="00DC39D6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>Resolução TRF-5ª Região nº 04, 21/03/2001</w:t>
        </w:r>
      </w:hyperlink>
      <w:r w:rsidRPr="00DC39D6">
        <w:rPr>
          <w:rFonts w:ascii="Verdana" w:hAnsi="Verdana"/>
          <w:sz w:val="18"/>
          <w:szCs w:val="18"/>
          <w:lang w:val="pt-BR" w:eastAsia="pt-BR" w:bidi="ar-SA"/>
        </w:rPr>
        <w:br/>
      </w:r>
      <w:proofErr w:type="spellStart"/>
      <w:r w:rsidRPr="00DC39D6">
        <w:rPr>
          <w:rFonts w:ascii="Verdana" w:hAnsi="Verdana"/>
          <w:sz w:val="18"/>
          <w:szCs w:val="18"/>
          <w:lang w:val="pt-BR" w:eastAsia="pt-BR" w:bidi="ar-SA"/>
        </w:rPr>
        <w:t>Publ</w:t>
      </w:r>
      <w:proofErr w:type="spellEnd"/>
      <w:r w:rsidRPr="00DC39D6">
        <w:rPr>
          <w:rFonts w:ascii="Verdana" w:hAnsi="Verdana"/>
          <w:sz w:val="18"/>
          <w:szCs w:val="18"/>
          <w:lang w:val="pt-BR" w:eastAsia="pt-BR" w:bidi="ar-SA"/>
        </w:rPr>
        <w:t>. DJU (II) 02/04/2001.</w:t>
      </w:r>
    </w:p>
    <w:p w:rsidR="00DC39D6" w:rsidRPr="00DC39D6" w:rsidRDefault="00DC39D6" w:rsidP="00DC39D6">
      <w:pPr>
        <w:rPr>
          <w:rFonts w:ascii="Verdana" w:hAnsi="Verdana"/>
          <w:sz w:val="18"/>
          <w:szCs w:val="18"/>
          <w:lang w:val="pt-BR" w:eastAsia="pt-BR" w:bidi="ar-SA"/>
        </w:rPr>
      </w:pPr>
      <w:r w:rsidRPr="00A224C4">
        <w:rPr>
          <w:rStyle w:val="SemEspaamento"/>
          <w:rFonts w:ascii="Verdana" w:hAnsi="Verdana" w:cs="Tahoma"/>
          <w:sz w:val="18"/>
          <w:szCs w:val="18"/>
          <w:lang w:val="pt-BR"/>
        </w:rPr>
        <w:t xml:space="preserve"> </w:t>
      </w:r>
      <w:proofErr w:type="spellStart"/>
      <w:r w:rsidRPr="00A224C4">
        <w:rPr>
          <w:rFonts w:ascii="Verdana" w:hAnsi="Verdana"/>
          <w:b/>
          <w:sz w:val="18"/>
          <w:szCs w:val="18"/>
          <w:lang w:val="pt-BR"/>
        </w:rPr>
        <w:t>Privativa-Especializada</w:t>
      </w:r>
      <w:proofErr w:type="spellEnd"/>
      <w:r w:rsidRPr="00A224C4">
        <w:rPr>
          <w:rFonts w:ascii="Verdana" w:hAnsi="Verdana"/>
          <w:sz w:val="18"/>
          <w:szCs w:val="18"/>
          <w:lang w:val="pt-BR"/>
        </w:rPr>
        <w:t>: Execuções Penais</w:t>
      </w: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14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A224C4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A224C4" w:rsidRPr="00A224C4" w:rsidRDefault="00A224C4" w:rsidP="00A224C4">
      <w:pPr>
        <w:pStyle w:val="SemEspaamento"/>
        <w:rPr>
          <w:rFonts w:ascii="Verdana" w:hAnsi="Verdana" w:cs="Tahoma"/>
          <w:b/>
          <w:bCs/>
          <w:sz w:val="18"/>
          <w:szCs w:val="18"/>
          <w:lang w:val="pt-BR"/>
        </w:rPr>
      </w:pPr>
      <w:r w:rsidRPr="00A224C4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</w:p>
    <w:p w:rsidR="00A224C4" w:rsidRDefault="00A224C4" w:rsidP="00DF42FE">
      <w:pPr>
        <w:rPr>
          <w:rFonts w:ascii="Verdana" w:hAnsi="Verdana" w:cs="Tahoma"/>
          <w:sz w:val="18"/>
          <w:szCs w:val="18"/>
          <w:lang w:val="pt-BR"/>
        </w:rPr>
      </w:pPr>
      <w:r w:rsidRPr="00A224C4">
        <w:rPr>
          <w:rFonts w:ascii="Verdana" w:hAnsi="Verdana" w:cs="Tahoma"/>
          <w:b/>
          <w:bCs/>
          <w:sz w:val="18"/>
          <w:lang w:val="pt-BR"/>
        </w:rPr>
        <w:t>Competência:</w:t>
      </w:r>
      <w:r w:rsidRPr="00A224C4">
        <w:rPr>
          <w:rFonts w:ascii="Verdana" w:hAnsi="Verdana" w:cs="Tahoma"/>
          <w:sz w:val="18"/>
          <w:szCs w:val="18"/>
          <w:lang w:val="pt-BR"/>
        </w:rPr>
        <w:t xml:space="preserve"> </w:t>
      </w:r>
      <w:proofErr w:type="spellStart"/>
      <w:r w:rsidRPr="00A224C4">
        <w:rPr>
          <w:rFonts w:ascii="Verdana" w:hAnsi="Verdana" w:cs="Tahoma"/>
          <w:sz w:val="18"/>
          <w:szCs w:val="18"/>
          <w:lang w:val="pt-BR"/>
        </w:rPr>
        <w:t>Cíve</w:t>
      </w:r>
      <w:proofErr w:type="spellEnd"/>
    </w:p>
    <w:p w:rsidR="00A224C4" w:rsidRDefault="00A224C4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15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A224C4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A224C4" w:rsidRDefault="00A224C4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A224C4" w:rsidRDefault="00A224C4" w:rsidP="00DF42FE">
      <w:pPr>
        <w:rPr>
          <w:rFonts w:ascii="Verdana" w:hAnsi="Verdana" w:cs="Tahoma"/>
          <w:sz w:val="18"/>
          <w:szCs w:val="18"/>
          <w:lang w:val="pt-BR"/>
        </w:rPr>
      </w:pPr>
    </w:p>
    <w:p w:rsidR="00DC39D6" w:rsidRDefault="00A224C4" w:rsidP="00DF42FE">
      <w:pPr>
        <w:rPr>
          <w:rFonts w:ascii="Verdana" w:hAnsi="Verdana" w:cs="Tahoma"/>
          <w:sz w:val="18"/>
          <w:szCs w:val="18"/>
          <w:lang w:val="pt-BR"/>
        </w:rPr>
      </w:pPr>
      <w:proofErr w:type="spellStart"/>
      <w:proofErr w:type="gramStart"/>
      <w:r w:rsidRPr="00A224C4">
        <w:rPr>
          <w:rFonts w:ascii="Verdana" w:hAnsi="Verdana" w:cs="Tahoma"/>
          <w:sz w:val="18"/>
          <w:szCs w:val="18"/>
          <w:lang w:val="pt-BR"/>
        </w:rPr>
        <w:t>l</w:t>
      </w:r>
      <w:r w:rsidRPr="00A224C4">
        <w:rPr>
          <w:rFonts w:ascii="Verdana" w:hAnsi="Verdana" w:cs="Tahoma"/>
          <w:b/>
          <w:bCs/>
          <w:sz w:val="18"/>
          <w:lang w:val="pt-BR"/>
        </w:rPr>
        <w:t>Competência</w:t>
      </w:r>
      <w:proofErr w:type="spellEnd"/>
      <w:proofErr w:type="gramEnd"/>
      <w:r w:rsidRPr="00A224C4">
        <w:rPr>
          <w:rFonts w:ascii="Verdana" w:hAnsi="Verdana" w:cs="Tahoma"/>
          <w:b/>
          <w:bCs/>
          <w:sz w:val="18"/>
          <w:lang w:val="pt-BR"/>
        </w:rPr>
        <w:t>:</w:t>
      </w:r>
      <w:r w:rsidRPr="00A224C4">
        <w:rPr>
          <w:rFonts w:ascii="Verdana" w:hAnsi="Verdana" w:cs="Tahoma"/>
          <w:sz w:val="18"/>
          <w:szCs w:val="18"/>
          <w:lang w:val="pt-BR"/>
        </w:rPr>
        <w:t xml:space="preserve"> Cível</w:t>
      </w: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19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A224C4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A224C4" w:rsidRDefault="00A224C4" w:rsidP="00A224C4">
      <w:pPr>
        <w:rPr>
          <w:rFonts w:ascii="Verdana" w:hAnsi="Verdana" w:cs="Tahoma"/>
          <w:sz w:val="18"/>
          <w:szCs w:val="18"/>
          <w:lang w:val="pt-BR"/>
        </w:rPr>
      </w:pPr>
      <w:proofErr w:type="spellStart"/>
      <w:proofErr w:type="gramStart"/>
      <w:r w:rsidRPr="00A224C4">
        <w:rPr>
          <w:rFonts w:ascii="Verdana" w:hAnsi="Verdana" w:cs="Tahoma"/>
          <w:sz w:val="18"/>
          <w:szCs w:val="18"/>
          <w:lang w:val="pt-BR"/>
        </w:rPr>
        <w:t>l</w:t>
      </w:r>
      <w:r w:rsidRPr="00A224C4">
        <w:rPr>
          <w:rFonts w:ascii="Verdana" w:hAnsi="Verdana" w:cs="Tahoma"/>
          <w:b/>
          <w:bCs/>
          <w:sz w:val="18"/>
          <w:lang w:val="pt-BR"/>
        </w:rPr>
        <w:t>Competência</w:t>
      </w:r>
      <w:proofErr w:type="spellEnd"/>
      <w:proofErr w:type="gramEnd"/>
      <w:r w:rsidRPr="00A224C4">
        <w:rPr>
          <w:rFonts w:ascii="Verdana" w:hAnsi="Verdana" w:cs="Tahoma"/>
          <w:b/>
          <w:bCs/>
          <w:sz w:val="18"/>
          <w:lang w:val="pt-BR"/>
        </w:rPr>
        <w:t>:</w:t>
      </w:r>
      <w:r w:rsidRPr="00A224C4">
        <w:rPr>
          <w:rFonts w:ascii="Verdana" w:hAnsi="Verdana" w:cs="Tahoma"/>
          <w:sz w:val="18"/>
          <w:szCs w:val="18"/>
          <w:lang w:val="pt-BR"/>
        </w:rPr>
        <w:t xml:space="preserve"> Cível</w:t>
      </w:r>
    </w:p>
    <w:p w:rsidR="00A224C4" w:rsidRDefault="00A224C4" w:rsidP="00A224C4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A224C4" w:rsidRDefault="00A224C4" w:rsidP="00A224C4">
      <w:pPr>
        <w:spacing w:after="450" w:line="384" w:lineRule="atLeast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21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A224C4" w:rsidRDefault="00A224C4" w:rsidP="00A224C4">
      <w:pPr>
        <w:spacing w:after="450" w:line="384" w:lineRule="atLeast"/>
        <w:rPr>
          <w:rFonts w:ascii="Verdana" w:hAnsi="Verdana" w:cs="Tahoma"/>
          <w:sz w:val="18"/>
          <w:szCs w:val="18"/>
        </w:rPr>
      </w:pPr>
      <w:proofErr w:type="spellStart"/>
      <w:r w:rsidRPr="00A224C4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A224C4">
        <w:rPr>
          <w:rFonts w:ascii="Verdana" w:hAnsi="Verdana" w:cs="Tahoma"/>
          <w:b/>
          <w:bCs/>
          <w:sz w:val="18"/>
        </w:rPr>
        <w:t xml:space="preserve">: </w:t>
      </w:r>
      <w:proofErr w:type="spellStart"/>
      <w:r w:rsidRPr="00A224C4">
        <w:rPr>
          <w:rFonts w:ascii="Verdana" w:hAnsi="Verdana" w:cs="Tahoma"/>
          <w:sz w:val="18"/>
          <w:szCs w:val="18"/>
        </w:rPr>
        <w:t>Cível</w:t>
      </w:r>
      <w:proofErr w:type="spellEnd"/>
    </w:p>
    <w:p w:rsidR="00A224C4" w:rsidRDefault="00A224C4" w:rsidP="00A224C4">
      <w:pPr>
        <w:spacing w:after="450" w:line="384" w:lineRule="atLeast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A224C4" w:rsidRPr="00A224C4" w:rsidRDefault="00A224C4" w:rsidP="00DF42FE">
      <w:pPr>
        <w:rPr>
          <w:rFonts w:ascii="Verdana" w:hAnsi="Verdana"/>
          <w:sz w:val="18"/>
          <w:szCs w:val="18"/>
          <w:lang w:val="pt-BR"/>
        </w:rPr>
      </w:pPr>
      <w:proofErr w:type="spellStart"/>
      <w:r w:rsidRPr="00A224C4">
        <w:rPr>
          <w:rFonts w:ascii="Verdana" w:hAnsi="Verdana" w:cs="Tahoma"/>
          <w:b/>
          <w:bCs/>
          <w:sz w:val="18"/>
        </w:rPr>
        <w:t>Competência</w:t>
      </w:r>
      <w:proofErr w:type="spellEnd"/>
      <w:r w:rsidRPr="00A224C4">
        <w:rPr>
          <w:rFonts w:ascii="Verdana" w:hAnsi="Verdana" w:cs="Tahoma"/>
          <w:b/>
          <w:bCs/>
          <w:sz w:val="18"/>
        </w:rPr>
        <w:t xml:space="preserve">: </w:t>
      </w:r>
      <w:proofErr w:type="spellStart"/>
      <w:r w:rsidRPr="00A224C4">
        <w:rPr>
          <w:rFonts w:ascii="Verdana" w:hAnsi="Verdana" w:cs="Tahoma"/>
          <w:sz w:val="18"/>
          <w:szCs w:val="18"/>
        </w:rPr>
        <w:t>Execução</w:t>
      </w:r>
      <w:proofErr w:type="spellEnd"/>
      <w:r w:rsidRPr="00A224C4">
        <w:rPr>
          <w:rFonts w:ascii="Verdana" w:hAnsi="Verdana" w:cs="Tahoma"/>
          <w:sz w:val="18"/>
          <w:szCs w:val="18"/>
        </w:rPr>
        <w:t xml:space="preserve"> Fiscal</w:t>
      </w:r>
    </w:p>
    <w:sectPr w:rsidR="00A224C4" w:rsidRPr="00A224C4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2FE"/>
    <w:rsid w:val="001A6681"/>
    <w:rsid w:val="00466C7E"/>
    <w:rsid w:val="009C0ABB"/>
    <w:rsid w:val="00A224C4"/>
    <w:rsid w:val="00AA017E"/>
    <w:rsid w:val="00B365E6"/>
    <w:rsid w:val="00BA58F4"/>
    <w:rsid w:val="00C13C7A"/>
    <w:rsid w:val="00DC39D6"/>
    <w:rsid w:val="00DF42FE"/>
    <w:rsid w:val="00F7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F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DF42FE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0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84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65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9887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4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f5.gov.br/documento/?arquivo=res04-21032001.pdf&amp;tipo=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f5.gov.br/documento/?arquivo=res10-11062003anexo.pdf&amp;tipo=res" TargetMode="External"/><Relationship Id="rId5" Type="http://schemas.openxmlformats.org/officeDocument/2006/relationships/hyperlink" Target="http://www.trf5.gov.br/documento/?arquivo=res04-21032001.pdf&amp;tipo=res" TargetMode="External"/><Relationship Id="rId4" Type="http://schemas.openxmlformats.org/officeDocument/2006/relationships/hyperlink" Target="http://www.planalto.gov.br/ccivil/LEIS/L6815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2012-02-03T12:40:00Z</dcterms:created>
  <dcterms:modified xsi:type="dcterms:W3CDTF">2012-02-03T14:05:00Z</dcterms:modified>
</cp:coreProperties>
</file>