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E6" w:rsidRDefault="008500E6" w:rsidP="008500E6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B365E6" w:rsidRPr="008500E6" w:rsidRDefault="008500E6" w:rsidP="00AA017E">
      <w:pPr>
        <w:pStyle w:val="SemEspaamento"/>
        <w:rPr>
          <w:rFonts w:ascii="Times New Roman" w:hAnsi="Times New Roman"/>
          <w:lang w:val="pt-BR"/>
        </w:rPr>
      </w:pPr>
      <w:r w:rsidRPr="008500E6">
        <w:rPr>
          <w:rFonts w:ascii="Verdana" w:hAnsi="Verdana" w:cs="Tahoma"/>
          <w:sz w:val="18"/>
          <w:szCs w:val="18"/>
          <w:lang w:val="pt-BR"/>
        </w:rPr>
        <w:t xml:space="preserve">Aliança, Camutanga, Condado, Ferreiros, Goiana, Itaquitinga, Itambé, Macaparana, São Vicente Ferrer, Vicência e Timbaúba </w:t>
      </w:r>
      <w:r w:rsidRPr="008500E6">
        <w:rPr>
          <w:rFonts w:ascii="Verdana" w:hAnsi="Verdana" w:cs="Tahoma"/>
          <w:sz w:val="18"/>
          <w:szCs w:val="18"/>
          <w:lang w:val="pt-BR"/>
        </w:rPr>
        <w:br/>
      </w:r>
      <w:hyperlink r:id="rId4" w:history="1">
        <w:r w:rsidRPr="008500E6">
          <w:rPr>
            <w:rStyle w:val="Hyperlink"/>
            <w:rFonts w:ascii="Verdana" w:hAnsi="Verdana" w:cs="Tahoma"/>
            <w:sz w:val="18"/>
            <w:szCs w:val="18"/>
            <w:lang w:val="pt-BR"/>
          </w:rPr>
          <w:t>Resolução nº 17, de 28 de abril de 2010</w:t>
        </w:r>
        <w:proofErr w:type="gramStart"/>
      </w:hyperlink>
      <w:proofErr w:type="gramEnd"/>
    </w:p>
    <w:sectPr w:rsidR="00B365E6" w:rsidRPr="008500E6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0E6"/>
    <w:rsid w:val="001666DB"/>
    <w:rsid w:val="001A6681"/>
    <w:rsid w:val="008500E6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E6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8500E6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f5.jus.br/documento/?arquivo=RES.17.2010.pdf&amp;tipo=r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2012-02-02T16:29:00Z</dcterms:created>
  <dcterms:modified xsi:type="dcterms:W3CDTF">2012-02-02T16:29:00Z</dcterms:modified>
</cp:coreProperties>
</file>