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62" w:rsidRDefault="002F1F62" w:rsidP="002F1F6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B365E6" w:rsidRPr="002F1F62" w:rsidRDefault="002F1F62" w:rsidP="00AA017E">
      <w:pPr>
        <w:pStyle w:val="SemEspaamento"/>
        <w:rPr>
          <w:rFonts w:ascii="Times New Roman" w:hAnsi="Times New Roman"/>
          <w:lang w:val="pt-BR"/>
        </w:rPr>
      </w:pPr>
      <w:r w:rsidRPr="002F1F62">
        <w:rPr>
          <w:rFonts w:ascii="Verdana" w:hAnsi="Verdana" w:cs="Tahoma"/>
          <w:sz w:val="18"/>
          <w:szCs w:val="18"/>
          <w:lang w:val="pt-BR"/>
        </w:rPr>
        <w:t xml:space="preserve">Plena (Causas previstas no art. 109 da Constituição Federal, inclusive para a conciliação, o julgamento e a execução de causas cíveis até o valor de sessenta salários mínimos e os feitos relativos às infrações de menor </w:t>
      </w:r>
      <w:proofErr w:type="gramStart"/>
      <w:r w:rsidRPr="002F1F62">
        <w:rPr>
          <w:rFonts w:ascii="Verdana" w:hAnsi="Verdana" w:cs="Tahoma"/>
          <w:sz w:val="18"/>
          <w:szCs w:val="18"/>
          <w:lang w:val="pt-BR"/>
        </w:rPr>
        <w:t>potencial ofensivo concernentes</w:t>
      </w:r>
      <w:proofErr w:type="gramEnd"/>
      <w:r w:rsidRPr="002F1F62">
        <w:rPr>
          <w:rFonts w:ascii="Verdana" w:hAnsi="Verdana" w:cs="Tahoma"/>
          <w:sz w:val="18"/>
          <w:szCs w:val="18"/>
          <w:lang w:val="pt-BR"/>
        </w:rPr>
        <w:t xml:space="preserve"> aos Juizados Especiais Federais Criminais instituidos através da Lei nº 10.259, de 12 de julho de 2001)</w:t>
      </w:r>
      <w:r w:rsidRPr="002F1F62">
        <w:rPr>
          <w:rFonts w:ascii="Verdana" w:hAnsi="Verdana" w:cs="Tahoma"/>
          <w:sz w:val="18"/>
          <w:szCs w:val="18"/>
          <w:lang w:val="pt-BR"/>
        </w:rPr>
        <w:br/>
      </w:r>
      <w:hyperlink r:id="rId4" w:tgtFrame="_blank" w:history="1">
        <w:r w:rsidRPr="002F1F62">
          <w:rPr>
            <w:rStyle w:val="Hyperlink"/>
            <w:rFonts w:ascii="Verdana" w:hAnsi="Verdana" w:cs="Tahoma"/>
            <w:sz w:val="18"/>
            <w:szCs w:val="18"/>
            <w:lang w:val="pt-BR"/>
          </w:rPr>
          <w:t>Resolução TRF-5ª Região nº 33, 24/11/2010</w:t>
        </w:r>
      </w:hyperlink>
    </w:p>
    <w:sectPr w:rsidR="00B365E6" w:rsidRPr="002F1F62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F62"/>
    <w:rsid w:val="001A6681"/>
    <w:rsid w:val="002F1F62"/>
    <w:rsid w:val="00A47241"/>
    <w:rsid w:val="00AA017E"/>
    <w:rsid w:val="00B365E6"/>
    <w:rsid w:val="00BA304F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62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2F1F62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fpe.jus.br/images/stories/docs_pdf/resolucaonovasvaras/RES.33.2010%5b1%5d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2012-02-02T16:57:00Z</dcterms:created>
  <dcterms:modified xsi:type="dcterms:W3CDTF">2012-02-02T16:57:00Z</dcterms:modified>
</cp:coreProperties>
</file>