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1C" w:rsidRPr="00195EC0" w:rsidRDefault="007D781C" w:rsidP="007D781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sz w:val="32"/>
          <w:szCs w:val="32"/>
          <w:lang w:val="pt-BR"/>
        </w:rPr>
      </w:pPr>
      <w:r w:rsidRPr="00195EC0">
        <w:rPr>
          <w:rFonts w:ascii="Verdana" w:hAnsi="Verdana"/>
          <w:b/>
          <w:color w:val="000000" w:themeColor="text1"/>
          <w:sz w:val="32"/>
          <w:szCs w:val="32"/>
          <w:lang w:val="pt-BR"/>
        </w:rPr>
        <w:t>Competência</w:t>
      </w:r>
    </w:p>
    <w:p w:rsidR="007D781C" w:rsidRPr="00195EC0" w:rsidRDefault="007D781C" w:rsidP="007D781C">
      <w:pPr>
        <w:spacing w:after="450" w:line="384" w:lineRule="atLeast"/>
        <w:rPr>
          <w:rFonts w:ascii="Verdana" w:eastAsia="Times New Roman" w:hAnsi="Verdana" w:cs="Tahoma"/>
          <w:lang w:val="pt-BR" w:eastAsia="pt-BR" w:bidi="ar-SA"/>
        </w:rPr>
      </w:pPr>
      <w:r w:rsidRPr="00195EC0">
        <w:rPr>
          <w:rFonts w:ascii="Verdana" w:eastAsia="Times New Roman" w:hAnsi="Verdana" w:cs="Tahoma"/>
          <w:lang w:val="pt-BR" w:eastAsia="pt-BR" w:bidi="ar-SA"/>
        </w:rPr>
        <w:t xml:space="preserve">Afogados da Ingazeira, Betânia, Brejinho, Calumbi, Carnaíba, Custódia, Flores, Floresta, Iguaraci, Ingazeira, Itacuruba, </w:t>
      </w:r>
      <w:proofErr w:type="gramStart"/>
      <w:r w:rsidRPr="00195EC0">
        <w:rPr>
          <w:rFonts w:ascii="Verdana" w:eastAsia="Times New Roman" w:hAnsi="Verdana" w:cs="Tahoma"/>
          <w:lang w:val="pt-BR" w:eastAsia="pt-BR" w:bidi="ar-SA"/>
        </w:rPr>
        <w:t>Itapetim, Jatobá, Nova</w:t>
      </w:r>
      <w:proofErr w:type="gramEnd"/>
      <w:r w:rsidRPr="00195EC0">
        <w:rPr>
          <w:rFonts w:ascii="Verdana" w:eastAsia="Times New Roman" w:hAnsi="Verdana" w:cs="Tahoma"/>
          <w:lang w:val="pt-BR" w:eastAsia="pt-BR" w:bidi="ar-SA"/>
        </w:rPr>
        <w:t xml:space="preserve"> Petrolândia, Quixaba, Santa Cruz da Baixa Verde, Santa Terezinha, São José do Belmonte, São José do Egito, Serra Talhada, Solidão, Tabira, Triunfo e Tuparetama. </w:t>
      </w:r>
      <w:r w:rsidRPr="00195EC0">
        <w:rPr>
          <w:rFonts w:ascii="Verdana" w:eastAsia="Times New Roman" w:hAnsi="Verdana" w:cs="Tahoma"/>
          <w:lang w:val="pt-BR" w:eastAsia="pt-BR" w:bidi="ar-SA"/>
        </w:rPr>
        <w:br/>
      </w:r>
      <w:hyperlink r:id="rId4" w:history="1">
        <w:r w:rsidRPr="00195EC0">
          <w:rPr>
            <w:rFonts w:ascii="Verdana" w:eastAsia="Times New Roman" w:hAnsi="Verdana" w:cs="Tahoma"/>
            <w:color w:val="222222"/>
            <w:lang w:val="pt-BR" w:eastAsia="pt-BR" w:bidi="ar-SA"/>
          </w:rPr>
          <w:t>Ato TRF-5ª Região nº 721, de 16 de agosto de 2005</w:t>
        </w:r>
      </w:hyperlink>
      <w:r w:rsidRPr="00195EC0">
        <w:rPr>
          <w:rFonts w:ascii="Verdana" w:eastAsia="Times New Roman" w:hAnsi="Verdana" w:cs="Tahoma"/>
          <w:lang w:val="pt-BR" w:eastAsia="pt-BR" w:bidi="ar-SA"/>
        </w:rPr>
        <w:br/>
        <w:t xml:space="preserve">Pub. DJU (II) </w:t>
      </w:r>
      <w:proofErr w:type="gramStart"/>
      <w:r w:rsidRPr="00195EC0">
        <w:rPr>
          <w:rFonts w:ascii="Verdana" w:eastAsia="Times New Roman" w:hAnsi="Verdana" w:cs="Tahoma"/>
          <w:lang w:val="pt-BR" w:eastAsia="pt-BR" w:bidi="ar-SA"/>
        </w:rPr>
        <w:t>23/08/2005</w:t>
      </w:r>
      <w:proofErr w:type="gramEnd"/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81C"/>
    <w:rsid w:val="00195EC0"/>
    <w:rsid w:val="001A6681"/>
    <w:rsid w:val="007C0C79"/>
    <w:rsid w:val="007D781C"/>
    <w:rsid w:val="00A47241"/>
    <w:rsid w:val="00AA017E"/>
    <w:rsid w:val="00B365E6"/>
    <w:rsid w:val="00BA58F4"/>
    <w:rsid w:val="00E2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1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7D781C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95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5099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Ato+721-16082005.pdf&amp;tipo=a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2012-02-02T18:08:00Z</dcterms:created>
  <dcterms:modified xsi:type="dcterms:W3CDTF">2012-03-08T18:18:00Z</dcterms:modified>
</cp:coreProperties>
</file>