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D7A" w:rsidRPr="00F57D7A" w:rsidRDefault="00F57D7A" w:rsidP="00F57D7A">
      <w:pPr>
        <w:shd w:val="clear" w:color="auto" w:fill="FFFFFF"/>
        <w:rPr>
          <w:rFonts w:ascii="Trebuchet MS" w:eastAsia="Times New Roman" w:hAnsi="Trebuchet MS"/>
          <w:color w:val="000000"/>
          <w:sz w:val="20"/>
          <w:szCs w:val="20"/>
          <w:lang w:val="pt-BR" w:eastAsia="pt-BR" w:bidi="ar-SA"/>
        </w:rPr>
      </w:pPr>
      <w:r w:rsidRPr="00F57D7A">
        <w:rPr>
          <w:rFonts w:ascii="inherit" w:eastAsia="Times New Roman" w:hAnsi="inherit"/>
          <w:b/>
          <w:bCs/>
          <w:color w:val="960000"/>
          <w:sz w:val="27"/>
          <w:szCs w:val="27"/>
          <w:lang w:val="pt-BR" w:eastAsia="pt-BR" w:bidi="ar-SA"/>
        </w:rPr>
        <w:t xml:space="preserve">Revista Jurídica </w:t>
      </w:r>
      <w:proofErr w:type="spellStart"/>
      <w:r w:rsidRPr="00F57D7A">
        <w:rPr>
          <w:rFonts w:ascii="inherit" w:eastAsia="Times New Roman" w:hAnsi="inherit"/>
          <w:b/>
          <w:bCs/>
          <w:color w:val="960000"/>
          <w:sz w:val="27"/>
          <w:szCs w:val="27"/>
          <w:lang w:val="pt-BR" w:eastAsia="pt-BR" w:bidi="ar-SA"/>
        </w:rPr>
        <w:t>Consulex</w:t>
      </w:r>
      <w:proofErr w:type="spellEnd"/>
      <w:r w:rsidRPr="00F57D7A">
        <w:rPr>
          <w:rFonts w:ascii="inherit" w:eastAsia="Times New Roman" w:hAnsi="inherit"/>
          <w:b/>
          <w:bCs/>
          <w:color w:val="960000"/>
          <w:sz w:val="27"/>
          <w:szCs w:val="27"/>
          <w:lang w:val="pt-BR" w:eastAsia="pt-BR" w:bidi="ar-SA"/>
        </w:rPr>
        <w:t xml:space="preserve"> nº 391</w:t>
      </w:r>
      <w:r w:rsidRPr="00F57D7A">
        <w:rPr>
          <w:rFonts w:ascii="Trebuchet MS" w:eastAsia="Times New Roman" w:hAnsi="Trebuchet MS"/>
          <w:color w:val="000000"/>
          <w:sz w:val="20"/>
          <w:szCs w:val="20"/>
          <w:lang w:val="pt-BR" w:eastAsia="pt-BR" w:bidi="ar-SA"/>
        </w:rPr>
        <w:br/>
      </w:r>
      <w:r w:rsidRPr="00F57D7A">
        <w:rPr>
          <w:rFonts w:ascii="inherit" w:eastAsia="Times New Roman" w:hAnsi="inherit"/>
          <w:i/>
          <w:iCs/>
          <w:color w:val="000000"/>
          <w:lang w:val="pt-BR" w:eastAsia="pt-BR" w:bidi="ar-SA"/>
        </w:rPr>
        <w:t>Contexto</w:t>
      </w:r>
    </w:p>
    <w:p w:rsidR="00F57D7A" w:rsidRPr="00F57D7A" w:rsidRDefault="00F57D7A" w:rsidP="00F57D7A">
      <w:pPr>
        <w:shd w:val="clear" w:color="auto" w:fill="EEEEEE"/>
        <w:rPr>
          <w:rFonts w:ascii="Trebuchet MS" w:eastAsia="Times New Roman" w:hAnsi="Trebuchet MS"/>
          <w:color w:val="000000"/>
          <w:sz w:val="21"/>
          <w:szCs w:val="21"/>
          <w:lang w:val="pt-BR" w:eastAsia="pt-BR" w:bidi="ar-SA"/>
        </w:rPr>
      </w:pPr>
      <w:r>
        <w:rPr>
          <w:rFonts w:ascii="Trebuchet MS" w:eastAsia="Times New Roman" w:hAnsi="Trebuchet MS"/>
          <w:noProof/>
          <w:color w:val="000000"/>
          <w:sz w:val="20"/>
          <w:szCs w:val="20"/>
          <w:lang w:val="pt-BR" w:eastAsia="pt-BR" w:bidi="ar-SA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476375" cy="1495425"/>
            <wp:effectExtent l="19050" t="0" r="9525" b="0"/>
            <wp:wrapSquare wrapText="bothSides"/>
            <wp:docPr id="2" name="Imagem 2" descr="Arquivo pesso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rquivo pessoal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Pr="00F57D7A">
        <w:rPr>
          <w:rFonts w:ascii="inherit" w:eastAsia="Times New Roman" w:hAnsi="inherit"/>
          <w:b/>
          <w:bCs/>
          <w:color w:val="000000"/>
          <w:sz w:val="21"/>
          <w:szCs w:val="21"/>
          <w:lang w:val="pt-BR" w:eastAsia="pt-BR" w:bidi="ar-SA"/>
        </w:rPr>
        <w:t>Italo</w:t>
      </w:r>
      <w:proofErr w:type="spellEnd"/>
      <w:r w:rsidRPr="00F57D7A">
        <w:rPr>
          <w:rFonts w:ascii="inherit" w:eastAsia="Times New Roman" w:hAnsi="inherit"/>
          <w:b/>
          <w:bCs/>
          <w:color w:val="000000"/>
          <w:sz w:val="21"/>
          <w:szCs w:val="21"/>
          <w:lang w:val="pt-BR" w:eastAsia="pt-BR" w:bidi="ar-SA"/>
        </w:rPr>
        <w:t xml:space="preserve"> Roberto </w:t>
      </w:r>
      <w:proofErr w:type="spellStart"/>
      <w:r w:rsidRPr="00F57D7A">
        <w:rPr>
          <w:rFonts w:ascii="inherit" w:eastAsia="Times New Roman" w:hAnsi="inherit"/>
          <w:b/>
          <w:bCs/>
          <w:color w:val="000000"/>
          <w:sz w:val="21"/>
          <w:szCs w:val="21"/>
          <w:lang w:val="pt-BR" w:eastAsia="pt-BR" w:bidi="ar-SA"/>
        </w:rPr>
        <w:t>Fuhrmann</w:t>
      </w:r>
      <w:proofErr w:type="spellEnd"/>
      <w:r w:rsidRPr="00F57D7A">
        <w:rPr>
          <w:rFonts w:ascii="Trebuchet MS" w:eastAsia="Times New Roman" w:hAnsi="Trebuchet MS"/>
          <w:color w:val="000000"/>
          <w:sz w:val="21"/>
          <w:szCs w:val="21"/>
          <w:lang w:val="pt-BR" w:eastAsia="pt-BR" w:bidi="ar-SA"/>
        </w:rPr>
        <w:br/>
        <w:t>Mestre em Direito (PUCRS). Advogado.</w:t>
      </w:r>
    </w:p>
    <w:p w:rsidR="00F57D7A" w:rsidRPr="00F57D7A" w:rsidRDefault="00E24602" w:rsidP="00F57D7A">
      <w:pPr>
        <w:shd w:val="clear" w:color="auto" w:fill="FFFFFF"/>
        <w:rPr>
          <w:rFonts w:ascii="Trebuchet MS" w:eastAsia="Times New Roman" w:hAnsi="Trebuchet MS"/>
          <w:color w:val="000000"/>
          <w:sz w:val="20"/>
          <w:szCs w:val="20"/>
          <w:lang w:val="pt-BR" w:eastAsia="pt-BR" w:bidi="ar-SA"/>
        </w:rPr>
      </w:pPr>
      <w:hyperlink r:id="rId5" w:history="1">
        <w:r w:rsidR="00F57D7A" w:rsidRPr="00F57D7A">
          <w:rPr>
            <w:rFonts w:ascii="Trebuchet MS" w:eastAsia="Times New Roman" w:hAnsi="Trebuchet MS"/>
            <w:color w:val="FFFFFF"/>
            <w:u w:val="single"/>
            <w:lang w:val="pt-BR" w:eastAsia="pt-BR" w:bidi="ar-SA"/>
          </w:rPr>
          <w:t>[a-]</w:t>
        </w:r>
      </w:hyperlink>
      <w:r w:rsidR="00F57D7A" w:rsidRPr="00F57D7A">
        <w:rPr>
          <w:rFonts w:ascii="Trebuchet MS" w:eastAsia="Times New Roman" w:hAnsi="Trebuchet MS"/>
          <w:color w:val="000000"/>
          <w:sz w:val="20"/>
          <w:szCs w:val="20"/>
          <w:lang w:val="pt-BR" w:eastAsia="pt-BR" w:bidi="ar-SA"/>
        </w:rPr>
        <w:t>  </w:t>
      </w:r>
      <w:hyperlink r:id="rId6" w:history="1">
        <w:r w:rsidR="00F57D7A" w:rsidRPr="00F57D7A">
          <w:rPr>
            <w:rFonts w:ascii="Trebuchet MS" w:eastAsia="Times New Roman" w:hAnsi="Trebuchet MS"/>
            <w:color w:val="FFFFFF"/>
            <w:u w:val="single"/>
            <w:lang w:val="pt-BR" w:eastAsia="pt-BR" w:bidi="ar-SA"/>
          </w:rPr>
          <w:t>[A+]</w:t>
        </w:r>
      </w:hyperlink>
    </w:p>
    <w:p w:rsidR="00F57D7A" w:rsidRPr="00F57D7A" w:rsidRDefault="00F57D7A" w:rsidP="00F57D7A">
      <w:pPr>
        <w:shd w:val="clear" w:color="auto" w:fill="FFFFFF"/>
        <w:rPr>
          <w:rFonts w:ascii="Trebuchet MS" w:eastAsia="Times New Roman" w:hAnsi="Trebuchet MS"/>
          <w:color w:val="000000"/>
          <w:sz w:val="20"/>
          <w:szCs w:val="20"/>
          <w:lang w:val="pt-BR" w:eastAsia="pt-BR" w:bidi="ar-SA"/>
        </w:rPr>
      </w:pPr>
      <w:r w:rsidRPr="00F57D7A">
        <w:rPr>
          <w:rFonts w:ascii="Trebuchet MS" w:eastAsia="Times New Roman" w:hAnsi="Trebuchet MS"/>
          <w:color w:val="000000"/>
          <w:sz w:val="20"/>
          <w:szCs w:val="20"/>
          <w:lang w:val="pt-BR" w:eastAsia="pt-BR" w:bidi="ar-SA"/>
        </w:rPr>
        <w:t xml:space="preserve">1/5/2013 </w:t>
      </w:r>
    </w:p>
    <w:p w:rsidR="00F57D7A" w:rsidRPr="00F57D7A" w:rsidRDefault="00F57D7A" w:rsidP="00F57D7A">
      <w:pPr>
        <w:shd w:val="clear" w:color="auto" w:fill="FFFFFF"/>
        <w:spacing w:before="100" w:beforeAutospacing="1" w:after="100" w:afterAutospacing="1"/>
        <w:outlineLvl w:val="0"/>
        <w:rPr>
          <w:rFonts w:ascii="Trebuchet MS" w:eastAsia="Times New Roman" w:hAnsi="Trebuchet MS"/>
          <w:b/>
          <w:bCs/>
          <w:color w:val="000000"/>
          <w:kern w:val="36"/>
          <w:sz w:val="48"/>
          <w:szCs w:val="48"/>
          <w:lang w:val="pt-BR" w:eastAsia="pt-BR" w:bidi="ar-SA"/>
        </w:rPr>
      </w:pPr>
      <w:r w:rsidRPr="00F57D7A">
        <w:rPr>
          <w:rFonts w:ascii="Trebuchet MS" w:eastAsia="Times New Roman" w:hAnsi="Trebuchet MS"/>
          <w:b/>
          <w:bCs/>
          <w:color w:val="000000"/>
          <w:kern w:val="36"/>
          <w:sz w:val="48"/>
          <w:szCs w:val="48"/>
          <w:lang w:val="pt-BR" w:eastAsia="pt-BR" w:bidi="ar-SA"/>
        </w:rPr>
        <w:t>DA POSSIBILIDADE JURÍDICA DA “RESERVA DO POSSÍVEL” NO DIREITO BRASILEIRO • APONTAMENTOS DOGMÁTICOS</w:t>
      </w:r>
    </w:p>
    <w:p w:rsidR="00F57D7A" w:rsidRPr="00F57D7A" w:rsidRDefault="00F57D7A" w:rsidP="00F57D7A">
      <w:pPr>
        <w:shd w:val="clear" w:color="auto" w:fill="FFFFFF"/>
        <w:spacing w:before="100" w:beforeAutospacing="1" w:after="100" w:afterAutospacing="1"/>
        <w:rPr>
          <w:rFonts w:ascii="Trebuchet MS" w:eastAsia="Times New Roman" w:hAnsi="Trebuchet MS"/>
          <w:color w:val="000000"/>
          <w:sz w:val="20"/>
          <w:szCs w:val="20"/>
          <w:lang w:val="pt-BR" w:eastAsia="pt-BR" w:bidi="ar-SA"/>
        </w:rPr>
      </w:pPr>
      <w:r w:rsidRPr="00F57D7A">
        <w:rPr>
          <w:rFonts w:ascii="Trebuchet MS" w:eastAsia="Times New Roman" w:hAnsi="Trebuchet MS"/>
          <w:color w:val="000000"/>
          <w:sz w:val="20"/>
          <w:szCs w:val="20"/>
          <w:lang w:val="pt-BR" w:eastAsia="pt-BR" w:bidi="ar-SA"/>
        </w:rPr>
        <w:t xml:space="preserve">Ao se tratar da efetivação judicial dos direitos sociais, comumente se aborda o tema a partir da sua dimensão econômica, imersa em um conflito objetivo entre necessidades infinitas e meios </w:t>
      </w:r>
      <w:proofErr w:type="gramStart"/>
      <w:r w:rsidRPr="00F57D7A">
        <w:rPr>
          <w:rFonts w:ascii="Trebuchet MS" w:eastAsia="Times New Roman" w:hAnsi="Trebuchet MS"/>
          <w:color w:val="000000"/>
          <w:sz w:val="20"/>
          <w:szCs w:val="20"/>
          <w:lang w:val="pt-BR" w:eastAsia="pt-BR" w:bidi="ar-SA"/>
        </w:rPr>
        <w:t>finitos.</w:t>
      </w:r>
      <w:proofErr w:type="gramEnd"/>
      <w:r w:rsidRPr="00F57D7A">
        <w:rPr>
          <w:rFonts w:ascii="Trebuchet MS" w:eastAsia="Times New Roman" w:hAnsi="Trebuchet MS"/>
          <w:color w:val="000000"/>
          <w:sz w:val="20"/>
          <w:szCs w:val="20"/>
          <w:lang w:val="pt-BR" w:eastAsia="pt-BR" w:bidi="ar-SA"/>
        </w:rPr>
        <w:t xml:space="preserve">1 No seio do ambiente jurídico-acadêmico brasileiro, e posteriormente adotado </w:t>
      </w:r>
      <w:r w:rsidRPr="00F57D7A">
        <w:rPr>
          <w:rFonts w:ascii="inherit" w:eastAsia="Times New Roman" w:hAnsi="inherit"/>
          <w:i/>
          <w:iCs/>
          <w:color w:val="000000"/>
          <w:sz w:val="20"/>
          <w:lang w:val="pt-BR" w:eastAsia="pt-BR" w:bidi="ar-SA"/>
        </w:rPr>
        <w:t xml:space="preserve">in </w:t>
      </w:r>
      <w:proofErr w:type="spellStart"/>
      <w:r w:rsidRPr="00F57D7A">
        <w:rPr>
          <w:rFonts w:ascii="inherit" w:eastAsia="Times New Roman" w:hAnsi="inherit"/>
          <w:i/>
          <w:iCs/>
          <w:color w:val="000000"/>
          <w:sz w:val="20"/>
          <w:lang w:val="pt-BR" w:eastAsia="pt-BR" w:bidi="ar-SA"/>
        </w:rPr>
        <w:t>totum</w:t>
      </w:r>
      <w:proofErr w:type="spellEnd"/>
      <w:r w:rsidRPr="00F57D7A">
        <w:rPr>
          <w:rFonts w:ascii="inherit" w:eastAsia="Times New Roman" w:hAnsi="inherit"/>
          <w:i/>
          <w:iCs/>
          <w:color w:val="000000"/>
          <w:sz w:val="20"/>
          <w:lang w:val="pt-BR" w:eastAsia="pt-BR" w:bidi="ar-SA"/>
        </w:rPr>
        <w:t xml:space="preserve"> </w:t>
      </w:r>
      <w:r w:rsidRPr="00F57D7A">
        <w:rPr>
          <w:rFonts w:ascii="Trebuchet MS" w:eastAsia="Times New Roman" w:hAnsi="Trebuchet MS"/>
          <w:color w:val="000000"/>
          <w:sz w:val="20"/>
          <w:szCs w:val="20"/>
          <w:lang w:val="pt-BR" w:eastAsia="pt-BR" w:bidi="ar-SA"/>
        </w:rPr>
        <w:t>pela jurisprudência nacional, o tema foi relacionado à propalada “reserva do possível”, construção teórica que condiciona a efetivação judicial dos direitos sociais à capacidade financeira do Estado.2</w:t>
      </w:r>
    </w:p>
    <w:p w:rsidR="00F57D7A" w:rsidRPr="00F57D7A" w:rsidRDefault="00F57D7A" w:rsidP="00F57D7A">
      <w:pPr>
        <w:shd w:val="clear" w:color="auto" w:fill="FFFFFF"/>
        <w:spacing w:before="100" w:beforeAutospacing="1" w:after="100" w:afterAutospacing="1"/>
        <w:rPr>
          <w:rFonts w:ascii="Trebuchet MS" w:eastAsia="Times New Roman" w:hAnsi="Trebuchet MS"/>
          <w:color w:val="000000"/>
          <w:sz w:val="20"/>
          <w:szCs w:val="20"/>
          <w:lang w:val="pt-BR" w:eastAsia="pt-BR" w:bidi="ar-SA"/>
        </w:rPr>
      </w:pPr>
      <w:r w:rsidRPr="00F57D7A">
        <w:rPr>
          <w:rFonts w:ascii="Trebuchet MS" w:eastAsia="Times New Roman" w:hAnsi="Trebuchet MS"/>
          <w:color w:val="000000"/>
          <w:sz w:val="20"/>
          <w:szCs w:val="20"/>
          <w:lang w:val="pt-BR" w:eastAsia="pt-BR" w:bidi="ar-SA"/>
        </w:rPr>
        <w:t xml:space="preserve">Com efeito, a teoria da “reserva do possível” ganhou contornos jurídicos precisos a partir do desenvolvimento jurisprudencial do Tribunal Constitucional Federal da Alemanha, destacando-se a multicitada decisão </w:t>
      </w:r>
      <w:proofErr w:type="spellStart"/>
      <w:proofErr w:type="gramStart"/>
      <w:r w:rsidRPr="00F57D7A">
        <w:rPr>
          <w:rFonts w:ascii="Trebuchet MS" w:eastAsia="Times New Roman" w:hAnsi="Trebuchet MS"/>
          <w:color w:val="000000"/>
          <w:sz w:val="20"/>
          <w:szCs w:val="20"/>
          <w:lang w:val="pt-BR" w:eastAsia="pt-BR" w:bidi="ar-SA"/>
        </w:rPr>
        <w:t>BVerfGE</w:t>
      </w:r>
      <w:proofErr w:type="spellEnd"/>
      <w:proofErr w:type="gramEnd"/>
      <w:r w:rsidRPr="00F57D7A">
        <w:rPr>
          <w:rFonts w:ascii="Trebuchet MS" w:eastAsia="Times New Roman" w:hAnsi="Trebuchet MS"/>
          <w:color w:val="000000"/>
          <w:sz w:val="20"/>
          <w:szCs w:val="20"/>
          <w:lang w:val="pt-BR" w:eastAsia="pt-BR" w:bidi="ar-SA"/>
        </w:rPr>
        <w:t xml:space="preserve"> 33, 303 (333), chamada popularmente de decisão </w:t>
      </w:r>
      <w:proofErr w:type="spellStart"/>
      <w:r w:rsidRPr="00F57D7A">
        <w:rPr>
          <w:rFonts w:ascii="inherit" w:eastAsia="Times New Roman" w:hAnsi="inherit"/>
          <w:i/>
          <w:iCs/>
          <w:color w:val="000000"/>
          <w:sz w:val="20"/>
          <w:lang w:val="pt-BR" w:eastAsia="pt-BR" w:bidi="ar-SA"/>
        </w:rPr>
        <w:t>numerus</w:t>
      </w:r>
      <w:proofErr w:type="spellEnd"/>
      <w:r w:rsidRPr="00F57D7A">
        <w:rPr>
          <w:rFonts w:ascii="inherit" w:eastAsia="Times New Roman" w:hAnsi="inherit"/>
          <w:i/>
          <w:iCs/>
          <w:color w:val="000000"/>
          <w:sz w:val="20"/>
          <w:lang w:val="pt-BR" w:eastAsia="pt-BR" w:bidi="ar-SA"/>
        </w:rPr>
        <w:t xml:space="preserve"> </w:t>
      </w:r>
      <w:proofErr w:type="spellStart"/>
      <w:r w:rsidRPr="00F57D7A">
        <w:rPr>
          <w:rFonts w:ascii="inherit" w:eastAsia="Times New Roman" w:hAnsi="inherit"/>
          <w:i/>
          <w:iCs/>
          <w:color w:val="000000"/>
          <w:sz w:val="20"/>
          <w:lang w:val="pt-BR" w:eastAsia="pt-BR" w:bidi="ar-SA"/>
        </w:rPr>
        <w:t>clausus</w:t>
      </w:r>
      <w:proofErr w:type="spellEnd"/>
      <w:r w:rsidRPr="00F57D7A">
        <w:rPr>
          <w:rFonts w:ascii="Trebuchet MS" w:eastAsia="Times New Roman" w:hAnsi="Trebuchet MS"/>
          <w:color w:val="000000"/>
          <w:sz w:val="20"/>
          <w:szCs w:val="20"/>
          <w:lang w:val="pt-BR" w:eastAsia="pt-BR" w:bidi="ar-SA"/>
        </w:rPr>
        <w:t>, em expressa alusão à limitação de vagas em relação ao número de candidatos “</w:t>
      </w:r>
      <w:proofErr w:type="spellStart"/>
      <w:r w:rsidRPr="00F57D7A">
        <w:rPr>
          <w:rFonts w:ascii="Trebuchet MS" w:eastAsia="Times New Roman" w:hAnsi="Trebuchet MS"/>
          <w:color w:val="000000"/>
          <w:sz w:val="20"/>
          <w:szCs w:val="20"/>
          <w:lang w:val="pt-BR" w:eastAsia="pt-BR" w:bidi="ar-SA"/>
        </w:rPr>
        <w:t>beschränkte</w:t>
      </w:r>
      <w:proofErr w:type="spellEnd"/>
      <w:r w:rsidRPr="00F57D7A">
        <w:rPr>
          <w:rFonts w:ascii="Trebuchet MS" w:eastAsia="Times New Roman" w:hAnsi="Trebuchet MS"/>
          <w:color w:val="000000"/>
          <w:sz w:val="20"/>
          <w:szCs w:val="20"/>
          <w:lang w:val="pt-BR" w:eastAsia="pt-BR" w:bidi="ar-SA"/>
        </w:rPr>
        <w:t xml:space="preserve"> </w:t>
      </w:r>
      <w:proofErr w:type="spellStart"/>
      <w:r w:rsidRPr="00F57D7A">
        <w:rPr>
          <w:rFonts w:ascii="Trebuchet MS" w:eastAsia="Times New Roman" w:hAnsi="Trebuchet MS"/>
          <w:color w:val="000000"/>
          <w:sz w:val="20"/>
          <w:szCs w:val="20"/>
          <w:lang w:val="pt-BR" w:eastAsia="pt-BR" w:bidi="ar-SA"/>
        </w:rPr>
        <w:t>Platzzahl</w:t>
      </w:r>
      <w:proofErr w:type="spellEnd"/>
      <w:r w:rsidRPr="00F57D7A">
        <w:rPr>
          <w:rFonts w:ascii="Trebuchet MS" w:eastAsia="Times New Roman" w:hAnsi="Trebuchet MS"/>
          <w:color w:val="000000"/>
          <w:sz w:val="20"/>
          <w:szCs w:val="20"/>
          <w:lang w:val="pt-BR" w:eastAsia="pt-BR" w:bidi="ar-SA"/>
        </w:rPr>
        <w:t>” em alguns cursos do ensino superior alemão.3 Tratou-se, na ocasião, do direito de acesso a vaga no curso de Medicina, sobre o qual firmou-se o entendimento de que, além da disponibilidade orçamentária, era necessário a razoabilidade da prestação, no sentido de se aferir o que o indivíduo pode exigir razoa</w:t>
      </w:r>
      <w:r w:rsidRPr="00F57D7A">
        <w:rPr>
          <w:rFonts w:ascii="Trebuchet MS" w:eastAsia="Times New Roman" w:hAnsi="Trebuchet MS"/>
          <w:color w:val="000000"/>
          <w:sz w:val="20"/>
          <w:szCs w:val="20"/>
          <w:lang w:val="pt-BR" w:eastAsia="pt-BR" w:bidi="ar-SA"/>
        </w:rPr>
        <w:softHyphen/>
        <w:t xml:space="preserve">velmente da sociedade em termos de bens e serviços.4 </w:t>
      </w:r>
    </w:p>
    <w:p w:rsidR="00F57D7A" w:rsidRPr="00F57D7A" w:rsidRDefault="00F57D7A" w:rsidP="00F57D7A">
      <w:pPr>
        <w:shd w:val="clear" w:color="auto" w:fill="FFFFFF"/>
        <w:spacing w:before="100" w:beforeAutospacing="1" w:after="100" w:afterAutospacing="1"/>
        <w:rPr>
          <w:rFonts w:ascii="Trebuchet MS" w:eastAsia="Times New Roman" w:hAnsi="Trebuchet MS"/>
          <w:color w:val="000000"/>
          <w:sz w:val="20"/>
          <w:szCs w:val="20"/>
          <w:lang w:val="pt-BR" w:eastAsia="pt-BR" w:bidi="ar-SA"/>
        </w:rPr>
      </w:pPr>
      <w:r w:rsidRPr="00F57D7A">
        <w:rPr>
          <w:rFonts w:ascii="Trebuchet MS" w:eastAsia="Times New Roman" w:hAnsi="Trebuchet MS"/>
          <w:color w:val="000000"/>
          <w:sz w:val="20"/>
          <w:szCs w:val="20"/>
          <w:lang w:val="pt-BR" w:eastAsia="pt-BR" w:bidi="ar-SA"/>
        </w:rPr>
        <w:t xml:space="preserve">Neste sentido, a “reserva do possível”, na esteira do que leciona </w:t>
      </w:r>
      <w:proofErr w:type="spellStart"/>
      <w:r w:rsidRPr="00F57D7A">
        <w:rPr>
          <w:rFonts w:ascii="Trebuchet MS" w:eastAsia="Times New Roman" w:hAnsi="Trebuchet MS"/>
          <w:color w:val="000000"/>
          <w:sz w:val="20"/>
          <w:szCs w:val="20"/>
          <w:lang w:val="pt-BR" w:eastAsia="pt-BR" w:bidi="ar-SA"/>
        </w:rPr>
        <w:t>Ingo</w:t>
      </w:r>
      <w:proofErr w:type="spellEnd"/>
      <w:r w:rsidRPr="00F57D7A">
        <w:rPr>
          <w:rFonts w:ascii="Trebuchet MS" w:eastAsia="Times New Roman" w:hAnsi="Trebuchet MS"/>
          <w:color w:val="000000"/>
          <w:sz w:val="20"/>
          <w:szCs w:val="20"/>
          <w:lang w:val="pt-BR" w:eastAsia="pt-BR" w:bidi="ar-SA"/>
        </w:rPr>
        <w:t xml:space="preserve"> </w:t>
      </w:r>
      <w:proofErr w:type="spellStart"/>
      <w:r w:rsidRPr="00F57D7A">
        <w:rPr>
          <w:rFonts w:ascii="Trebuchet MS" w:eastAsia="Times New Roman" w:hAnsi="Trebuchet MS"/>
          <w:color w:val="000000"/>
          <w:sz w:val="20"/>
          <w:szCs w:val="20"/>
          <w:lang w:val="pt-BR" w:eastAsia="pt-BR" w:bidi="ar-SA"/>
        </w:rPr>
        <w:t>Sarlet</w:t>
      </w:r>
      <w:proofErr w:type="spellEnd"/>
      <w:r w:rsidRPr="00F57D7A">
        <w:rPr>
          <w:rFonts w:ascii="Trebuchet MS" w:eastAsia="Times New Roman" w:hAnsi="Trebuchet MS"/>
          <w:color w:val="000000"/>
          <w:sz w:val="20"/>
          <w:szCs w:val="20"/>
          <w:lang w:val="pt-BR" w:eastAsia="pt-BR" w:bidi="ar-SA"/>
        </w:rPr>
        <w:t>, se desdobra em uma tríplice dimensão que engloba (i) a efetiva disponibilidade fática dos recursos para a efetivação dos direitos fundamentais; (</w:t>
      </w:r>
      <w:proofErr w:type="gramStart"/>
      <w:r w:rsidRPr="00F57D7A">
        <w:rPr>
          <w:rFonts w:ascii="Trebuchet MS" w:eastAsia="Times New Roman" w:hAnsi="Trebuchet MS"/>
          <w:color w:val="000000"/>
          <w:sz w:val="20"/>
          <w:szCs w:val="20"/>
          <w:lang w:val="pt-BR" w:eastAsia="pt-BR" w:bidi="ar-SA"/>
        </w:rPr>
        <w:t>ii</w:t>
      </w:r>
      <w:proofErr w:type="gramEnd"/>
      <w:r w:rsidRPr="00F57D7A">
        <w:rPr>
          <w:rFonts w:ascii="Trebuchet MS" w:eastAsia="Times New Roman" w:hAnsi="Trebuchet MS"/>
          <w:color w:val="000000"/>
          <w:sz w:val="20"/>
          <w:szCs w:val="20"/>
          <w:lang w:val="pt-BR" w:eastAsia="pt-BR" w:bidi="ar-SA"/>
        </w:rPr>
        <w:t xml:space="preserve">) a disponibilidade jurídica dos recursos materiais e </w:t>
      </w:r>
      <w:proofErr w:type="gramStart"/>
      <w:r w:rsidRPr="00F57D7A">
        <w:rPr>
          <w:rFonts w:ascii="Trebuchet MS" w:eastAsia="Times New Roman" w:hAnsi="Trebuchet MS"/>
          <w:color w:val="000000"/>
          <w:sz w:val="20"/>
          <w:szCs w:val="20"/>
          <w:lang w:val="pt-BR" w:eastAsia="pt-BR" w:bidi="ar-SA"/>
        </w:rPr>
        <w:t>humanos</w:t>
      </w:r>
      <w:proofErr w:type="gramEnd"/>
      <w:r w:rsidRPr="00F57D7A">
        <w:rPr>
          <w:rFonts w:ascii="Trebuchet MS" w:eastAsia="Times New Roman" w:hAnsi="Trebuchet MS"/>
          <w:color w:val="000000"/>
          <w:sz w:val="20"/>
          <w:szCs w:val="20"/>
          <w:lang w:val="pt-BR" w:eastAsia="pt-BR" w:bidi="ar-SA"/>
        </w:rPr>
        <w:t>, relacionando-se com a distribuição das receitas e competências tributárias, orçamentárias, legislativas e administrativas, dentre outras; e (iii) na perspectiva do titular de um direito a prestações sociais, também o problema da proporcionalidade da prestação e de sua razoabilidade.</w:t>
      </w:r>
    </w:p>
    <w:p w:rsidR="00F57D7A" w:rsidRPr="00F57D7A" w:rsidRDefault="00F57D7A" w:rsidP="00F57D7A">
      <w:pPr>
        <w:shd w:val="clear" w:color="auto" w:fill="FFFFFF"/>
        <w:spacing w:before="100" w:beforeAutospacing="1" w:after="100" w:afterAutospacing="1"/>
        <w:rPr>
          <w:rFonts w:ascii="Trebuchet MS" w:eastAsia="Times New Roman" w:hAnsi="Trebuchet MS"/>
          <w:color w:val="000000"/>
          <w:sz w:val="20"/>
          <w:szCs w:val="20"/>
          <w:lang w:val="pt-BR" w:eastAsia="pt-BR" w:bidi="ar-SA"/>
        </w:rPr>
      </w:pPr>
      <w:r w:rsidRPr="00F57D7A">
        <w:rPr>
          <w:rFonts w:ascii="Trebuchet MS" w:eastAsia="Times New Roman" w:hAnsi="Trebuchet MS"/>
          <w:color w:val="000000"/>
          <w:sz w:val="20"/>
          <w:szCs w:val="20"/>
          <w:lang w:val="pt-BR" w:eastAsia="pt-BR" w:bidi="ar-SA"/>
        </w:rPr>
        <w:t xml:space="preserve">Como </w:t>
      </w:r>
      <w:proofErr w:type="gramStart"/>
      <w:r w:rsidRPr="00F57D7A">
        <w:rPr>
          <w:rFonts w:ascii="Trebuchet MS" w:eastAsia="Times New Roman" w:hAnsi="Trebuchet MS"/>
          <w:color w:val="000000"/>
          <w:sz w:val="20"/>
          <w:szCs w:val="20"/>
          <w:lang w:val="pt-BR" w:eastAsia="pt-BR" w:bidi="ar-SA"/>
        </w:rPr>
        <w:t>visto,</w:t>
      </w:r>
      <w:proofErr w:type="gramEnd"/>
      <w:r w:rsidRPr="00F57D7A">
        <w:rPr>
          <w:rFonts w:ascii="Trebuchet MS" w:eastAsia="Times New Roman" w:hAnsi="Trebuchet MS"/>
          <w:color w:val="000000"/>
          <w:sz w:val="20"/>
          <w:szCs w:val="20"/>
          <w:lang w:val="pt-BR" w:eastAsia="pt-BR" w:bidi="ar-SA"/>
        </w:rPr>
        <w:t xml:space="preserve"> a chamada “reserva do possível” não abrange apenas o viés econômico da concretização dos direitos sociais, mas também outras possibilidades de ordem jurídica e institucional, podendo servir, neste sentido, como possível critério balizador por ocasião de colisões entre direitos fundamentais, desde que preservados, em qualquer hipótese, os núcleos essenciais dos direitos em jogo.5 </w:t>
      </w:r>
    </w:p>
    <w:p w:rsidR="00F57D7A" w:rsidRPr="00F57D7A" w:rsidRDefault="00F57D7A" w:rsidP="00F57D7A">
      <w:pPr>
        <w:shd w:val="clear" w:color="auto" w:fill="FFFFFF"/>
        <w:spacing w:before="100" w:beforeAutospacing="1" w:after="100" w:afterAutospacing="1"/>
        <w:rPr>
          <w:rFonts w:ascii="Trebuchet MS" w:eastAsia="Times New Roman" w:hAnsi="Trebuchet MS"/>
          <w:color w:val="000000"/>
          <w:sz w:val="20"/>
          <w:szCs w:val="20"/>
          <w:lang w:val="pt-BR" w:eastAsia="pt-BR" w:bidi="ar-SA"/>
        </w:rPr>
      </w:pPr>
      <w:r w:rsidRPr="00F57D7A">
        <w:rPr>
          <w:rFonts w:ascii="Trebuchet MS" w:eastAsia="Times New Roman" w:hAnsi="Trebuchet MS"/>
          <w:color w:val="000000"/>
          <w:sz w:val="20"/>
          <w:szCs w:val="20"/>
          <w:lang w:val="pt-BR" w:eastAsia="pt-BR" w:bidi="ar-SA"/>
        </w:rPr>
        <w:t xml:space="preserve">Cumpre destacar que, para o caso específico do direito à saúde, além da escassez de recursos financeiros, que se torna cada vez mais evidente </w:t>
      </w:r>
      <w:proofErr w:type="gramStart"/>
      <w:r w:rsidRPr="00F57D7A">
        <w:rPr>
          <w:rFonts w:ascii="Trebuchet MS" w:eastAsia="Times New Roman" w:hAnsi="Trebuchet MS"/>
          <w:color w:val="000000"/>
          <w:sz w:val="20"/>
          <w:szCs w:val="20"/>
          <w:lang w:val="pt-BR" w:eastAsia="pt-BR" w:bidi="ar-SA"/>
        </w:rPr>
        <w:t>à medida em que</w:t>
      </w:r>
      <w:proofErr w:type="gramEnd"/>
      <w:r w:rsidRPr="00F57D7A">
        <w:rPr>
          <w:rFonts w:ascii="Trebuchet MS" w:eastAsia="Times New Roman" w:hAnsi="Trebuchet MS"/>
          <w:color w:val="000000"/>
          <w:sz w:val="20"/>
          <w:szCs w:val="20"/>
          <w:lang w:val="pt-BR" w:eastAsia="pt-BR" w:bidi="ar-SA"/>
        </w:rPr>
        <w:t xml:space="preserve"> avança o processo de desenvolvimento da tecnologia médica, há também a questão da disponibilidade de órgãos, pessoal especializado e equipamentos, além da questão legal/constitucional da repartição de competências.</w:t>
      </w:r>
    </w:p>
    <w:p w:rsidR="00F57D7A" w:rsidRPr="00F57D7A" w:rsidRDefault="00F57D7A" w:rsidP="00F57D7A">
      <w:pPr>
        <w:shd w:val="clear" w:color="auto" w:fill="FFFFFF"/>
        <w:spacing w:before="100" w:beforeAutospacing="1" w:after="100" w:afterAutospacing="1"/>
        <w:rPr>
          <w:rFonts w:ascii="Trebuchet MS" w:eastAsia="Times New Roman" w:hAnsi="Trebuchet MS"/>
          <w:color w:val="000000"/>
          <w:sz w:val="20"/>
          <w:szCs w:val="20"/>
          <w:lang w:val="pt-BR" w:eastAsia="pt-BR" w:bidi="ar-SA"/>
        </w:rPr>
      </w:pPr>
      <w:r w:rsidRPr="00F57D7A">
        <w:rPr>
          <w:rFonts w:ascii="Trebuchet MS" w:eastAsia="Times New Roman" w:hAnsi="Trebuchet MS"/>
          <w:color w:val="000000"/>
          <w:sz w:val="20"/>
          <w:szCs w:val="20"/>
          <w:lang w:val="pt-BR" w:eastAsia="pt-BR" w:bidi="ar-SA"/>
        </w:rPr>
        <w:t>Sem embargo, não deve ser menosprezado o impacto econômico da efetivação dos direitos sociais e a eventual utilização da “reserva do possível” como argumento no cenário jurídico brasileiro, já que, nem mesmo na Alemanha, economia central da União Europeia, dispensa-</w:t>
      </w:r>
      <w:r w:rsidRPr="00F57D7A">
        <w:rPr>
          <w:rFonts w:ascii="Trebuchet MS" w:eastAsia="Times New Roman" w:hAnsi="Trebuchet MS"/>
          <w:color w:val="000000"/>
          <w:sz w:val="20"/>
          <w:szCs w:val="20"/>
          <w:lang w:val="pt-BR" w:eastAsia="pt-BR" w:bidi="ar-SA"/>
        </w:rPr>
        <w:lastRenderedPageBreak/>
        <w:t xml:space="preserve">se o debate acerca dos limites orçamentários à efetivação dos direitos sociais. Todavia, o que se impõe é a análise crítica do posicionamento impeditivo da intervenção judicial no âmbito da efetivação dos direitos sociais, tendo como fundamento último </w:t>
      </w:r>
      <w:proofErr w:type="gramStart"/>
      <w:r w:rsidRPr="00F57D7A">
        <w:rPr>
          <w:rFonts w:ascii="Trebuchet MS" w:eastAsia="Times New Roman" w:hAnsi="Trebuchet MS"/>
          <w:color w:val="000000"/>
          <w:sz w:val="20"/>
          <w:szCs w:val="20"/>
          <w:lang w:val="pt-BR" w:eastAsia="pt-BR" w:bidi="ar-SA"/>
        </w:rPr>
        <w:t>a</w:t>
      </w:r>
      <w:proofErr w:type="gramEnd"/>
      <w:r w:rsidRPr="00F57D7A">
        <w:rPr>
          <w:rFonts w:ascii="Trebuchet MS" w:eastAsia="Times New Roman" w:hAnsi="Trebuchet MS"/>
          <w:color w:val="000000"/>
          <w:sz w:val="20"/>
          <w:szCs w:val="20"/>
          <w:lang w:val="pt-BR" w:eastAsia="pt-BR" w:bidi="ar-SA"/>
        </w:rPr>
        <w:t xml:space="preserve"> escassez de recursos e a correlata competência parlamentar em matéria orçamentária, no sentido de formulação de políticas públicas e alocação de recursos.</w:t>
      </w:r>
    </w:p>
    <w:p w:rsidR="00F57D7A" w:rsidRPr="00F57D7A" w:rsidRDefault="00F57D7A" w:rsidP="00F57D7A">
      <w:pPr>
        <w:shd w:val="clear" w:color="auto" w:fill="FFFFFF"/>
        <w:spacing w:before="100" w:beforeAutospacing="1" w:after="100" w:afterAutospacing="1"/>
        <w:rPr>
          <w:rFonts w:ascii="Trebuchet MS" w:eastAsia="Times New Roman" w:hAnsi="Trebuchet MS"/>
          <w:color w:val="000000"/>
          <w:sz w:val="20"/>
          <w:szCs w:val="20"/>
          <w:lang w:val="pt-BR" w:eastAsia="pt-BR" w:bidi="ar-SA"/>
        </w:rPr>
      </w:pPr>
      <w:r w:rsidRPr="00F57D7A">
        <w:rPr>
          <w:rFonts w:ascii="Trebuchet MS" w:eastAsia="Times New Roman" w:hAnsi="Trebuchet MS"/>
          <w:color w:val="000000"/>
          <w:sz w:val="20"/>
          <w:szCs w:val="20"/>
          <w:lang w:val="pt-BR" w:eastAsia="pt-BR" w:bidi="ar-SA"/>
        </w:rPr>
        <w:t>Primeiramente, o potencial da teoria da “reserva do possível”, do ponto de vista jurídico-constitucional brasileiro, deve ser significativamente atenuado, especialmente no que diz respeito ao embate entre direitos sociais e limites orçamentários, já que direitos fundamentais sociais não se condicionam, ou melhor, não estão em estrita dependência do legislador ordinário, como, de resto, se apresentam os direitos derivados a prestações de matriz infraconstitucional. É em um contexto estritamente de legalidade, como em regra se identificam os direitos sociais na Alemanha, que tal teoria se presta a maior aplicabilidade, já que tais posições jurídicas não se revestem de um conteúdo contramajoritário, característico do sistema de direitos fundamentais. Ademais, o fato de que os direitos sociais não se constituem em direitos absolutos não significa, necessariamente, que estes devam ser limitados pela (in</w:t>
      </w:r>
      <w:proofErr w:type="gramStart"/>
      <w:r w:rsidRPr="00F57D7A">
        <w:rPr>
          <w:rFonts w:ascii="Trebuchet MS" w:eastAsia="Times New Roman" w:hAnsi="Trebuchet MS"/>
          <w:color w:val="000000"/>
          <w:sz w:val="20"/>
          <w:szCs w:val="20"/>
          <w:lang w:val="pt-BR" w:eastAsia="pt-BR" w:bidi="ar-SA"/>
        </w:rPr>
        <w:t>)capacidade</w:t>
      </w:r>
      <w:proofErr w:type="gramEnd"/>
      <w:r w:rsidRPr="00F57D7A">
        <w:rPr>
          <w:rFonts w:ascii="Trebuchet MS" w:eastAsia="Times New Roman" w:hAnsi="Trebuchet MS"/>
          <w:color w:val="000000"/>
          <w:sz w:val="20"/>
          <w:szCs w:val="20"/>
          <w:lang w:val="pt-BR" w:eastAsia="pt-BR" w:bidi="ar-SA"/>
        </w:rPr>
        <w:t xml:space="preserve"> econômica do Estado, mas que possam, eventualmente, sofrer limitações frente à proteção e garantia de outros direitos fundamentais.</w:t>
      </w:r>
    </w:p>
    <w:p w:rsidR="00F57D7A" w:rsidRPr="00F57D7A" w:rsidRDefault="00F57D7A" w:rsidP="00F57D7A">
      <w:pPr>
        <w:shd w:val="clear" w:color="auto" w:fill="FFFFFF"/>
        <w:spacing w:before="100" w:beforeAutospacing="1" w:after="100" w:afterAutospacing="1"/>
        <w:rPr>
          <w:rFonts w:ascii="Trebuchet MS" w:eastAsia="Times New Roman" w:hAnsi="Trebuchet MS"/>
          <w:color w:val="000000"/>
          <w:sz w:val="20"/>
          <w:szCs w:val="20"/>
          <w:lang w:val="pt-BR" w:eastAsia="pt-BR" w:bidi="ar-SA"/>
        </w:rPr>
      </w:pPr>
      <w:r w:rsidRPr="00F57D7A">
        <w:rPr>
          <w:rFonts w:ascii="Trebuchet MS" w:eastAsia="Times New Roman" w:hAnsi="Trebuchet MS"/>
          <w:color w:val="000000"/>
          <w:sz w:val="20"/>
          <w:szCs w:val="20"/>
          <w:lang w:val="pt-BR" w:eastAsia="pt-BR" w:bidi="ar-SA"/>
        </w:rPr>
        <w:t xml:space="preserve">De outra banda, ainda que admitamos o argumento da escassez de recursos como apto a limitar a fruição dos direitos sociais, pelo disposto no art. 5º, § 1º, da Constituição Federal caberia ao Poder Público, em última análise, a comprovação da falta efetiva dos recursos indispensáveis à satisfação dos direitos a prestações, de modo que, o argumento, </w:t>
      </w:r>
      <w:r w:rsidRPr="00F57D7A">
        <w:rPr>
          <w:rFonts w:ascii="inherit" w:eastAsia="Times New Roman" w:hAnsi="inherit"/>
          <w:i/>
          <w:iCs/>
          <w:color w:val="000000"/>
          <w:sz w:val="20"/>
          <w:lang w:val="pt-BR" w:eastAsia="pt-BR" w:bidi="ar-SA"/>
        </w:rPr>
        <w:t>a priori</w:t>
      </w:r>
      <w:r w:rsidRPr="00F57D7A">
        <w:rPr>
          <w:rFonts w:ascii="Trebuchet MS" w:eastAsia="Times New Roman" w:hAnsi="Trebuchet MS"/>
          <w:color w:val="000000"/>
          <w:sz w:val="20"/>
          <w:szCs w:val="20"/>
          <w:lang w:val="pt-BR" w:eastAsia="pt-BR" w:bidi="ar-SA"/>
        </w:rPr>
        <w:t>, de que o Estado brasileiro não tem meios financeiros para arcar com as demandas sociais, sem comprovação fática para o caso concreto, é de pronto descartado.</w:t>
      </w:r>
    </w:p>
    <w:p w:rsidR="00F57D7A" w:rsidRPr="00F57D7A" w:rsidRDefault="00F57D7A" w:rsidP="00F57D7A">
      <w:pPr>
        <w:shd w:val="clear" w:color="auto" w:fill="FFFFFF"/>
        <w:spacing w:before="100" w:beforeAutospacing="1" w:after="100" w:afterAutospacing="1"/>
        <w:rPr>
          <w:rFonts w:ascii="Trebuchet MS" w:eastAsia="Times New Roman" w:hAnsi="Trebuchet MS"/>
          <w:color w:val="000000"/>
          <w:sz w:val="20"/>
          <w:szCs w:val="20"/>
          <w:lang w:val="pt-BR" w:eastAsia="pt-BR" w:bidi="ar-SA"/>
        </w:rPr>
      </w:pPr>
      <w:r w:rsidRPr="00F57D7A">
        <w:rPr>
          <w:rFonts w:ascii="Trebuchet MS" w:eastAsia="Times New Roman" w:hAnsi="Trebuchet MS"/>
          <w:color w:val="000000"/>
          <w:sz w:val="20"/>
          <w:szCs w:val="20"/>
          <w:lang w:val="pt-BR" w:eastAsia="pt-BR" w:bidi="ar-SA"/>
        </w:rPr>
        <w:t>Com efeito, a limitação estrita das possibilidades do Direito pela Economia é objeto de estudo científico desde a doutrina marxista, que relega o Direito à mera condição de superestrutura ideológica que reflete o sistema econômico-</w:t>
      </w:r>
      <w:proofErr w:type="gramStart"/>
      <w:r w:rsidRPr="00F57D7A">
        <w:rPr>
          <w:rFonts w:ascii="Trebuchet MS" w:eastAsia="Times New Roman" w:hAnsi="Trebuchet MS"/>
          <w:color w:val="000000"/>
          <w:sz w:val="20"/>
          <w:szCs w:val="20"/>
          <w:lang w:val="pt-BR" w:eastAsia="pt-BR" w:bidi="ar-SA"/>
        </w:rPr>
        <w:t>produtivo.</w:t>
      </w:r>
      <w:proofErr w:type="gramEnd"/>
      <w:r w:rsidRPr="00F57D7A">
        <w:rPr>
          <w:rFonts w:ascii="Trebuchet MS" w:eastAsia="Times New Roman" w:hAnsi="Trebuchet MS"/>
          <w:color w:val="000000"/>
          <w:sz w:val="20"/>
          <w:szCs w:val="20"/>
          <w:lang w:val="pt-BR" w:eastAsia="pt-BR" w:bidi="ar-SA"/>
        </w:rPr>
        <w:t xml:space="preserve">6 A teoria da análise econômica do Direito7, ao atribuir, para o campo jurídico, maior significação à categoria eficiência do que à categoria legalidade/constitucionalidade, acaba condicionando todo o sistema jurídico pela lógica da infraestrutura das relações econômicas. Neste particular, e </w:t>
      </w:r>
      <w:proofErr w:type="gramStart"/>
      <w:r w:rsidRPr="00F57D7A">
        <w:rPr>
          <w:rFonts w:ascii="Trebuchet MS" w:eastAsia="Times New Roman" w:hAnsi="Trebuchet MS"/>
          <w:color w:val="000000"/>
          <w:sz w:val="20"/>
          <w:szCs w:val="20"/>
          <w:lang w:val="pt-BR" w:eastAsia="pt-BR" w:bidi="ar-SA"/>
        </w:rPr>
        <w:t>à</w:t>
      </w:r>
      <w:proofErr w:type="gramEnd"/>
      <w:r w:rsidRPr="00F57D7A">
        <w:rPr>
          <w:rFonts w:ascii="Trebuchet MS" w:eastAsia="Times New Roman" w:hAnsi="Trebuchet MS"/>
          <w:color w:val="000000"/>
          <w:sz w:val="20"/>
          <w:szCs w:val="20"/>
          <w:lang w:val="pt-BR" w:eastAsia="pt-BR" w:bidi="ar-SA"/>
        </w:rPr>
        <w:t xml:space="preserve"> guisa de conclusão, Lima Lopes, ao criticar o uso indevido de categorias externas à lógica jurídica, destaca que ainda que seja mais eficiente, do ponto de vista econômico, abandonar parte da população à própria sorte, eliminar sujeitos não desejados, impedir o acesso de etnias a certos lugares e assim por diante, a obrigatoriedade ou não de tais ações não pode ser respondida, em última análise, a partir do critério do custo financeiro.8</w:t>
      </w:r>
    </w:p>
    <w:p w:rsidR="00F57D7A" w:rsidRPr="00F57D7A" w:rsidRDefault="00E24602" w:rsidP="00F57D7A">
      <w:pPr>
        <w:shd w:val="clear" w:color="auto" w:fill="FFFFFF"/>
        <w:rPr>
          <w:rFonts w:ascii="Trebuchet MS" w:eastAsia="Times New Roman" w:hAnsi="Trebuchet MS"/>
          <w:color w:val="000000"/>
          <w:sz w:val="20"/>
          <w:szCs w:val="20"/>
          <w:lang w:val="pt-BR" w:eastAsia="pt-BR" w:bidi="ar-SA"/>
        </w:rPr>
      </w:pPr>
      <w:hyperlink r:id="rId7" w:history="1">
        <w:r w:rsidR="00F57D7A" w:rsidRPr="00F57D7A">
          <w:rPr>
            <w:rFonts w:ascii="Trebuchet MS" w:eastAsia="Times New Roman" w:hAnsi="Trebuchet MS"/>
            <w:color w:val="777777"/>
            <w:sz w:val="20"/>
            <w:u w:val="single"/>
            <w:lang w:val="pt-BR" w:eastAsia="pt-BR" w:bidi="ar-SA"/>
          </w:rPr>
          <w:t>[voltar]</w:t>
        </w:r>
      </w:hyperlink>
      <w:r w:rsidR="00F57D7A" w:rsidRPr="00F57D7A">
        <w:rPr>
          <w:rFonts w:ascii="Trebuchet MS" w:eastAsia="Times New Roman" w:hAnsi="Trebuchet MS"/>
          <w:color w:val="000000"/>
          <w:sz w:val="20"/>
          <w:szCs w:val="20"/>
          <w:lang w:val="pt-BR" w:eastAsia="pt-BR" w:bidi="ar-SA"/>
        </w:rPr>
        <w:t> | </w:t>
      </w:r>
      <w:hyperlink r:id="rId8" w:history="1">
        <w:r w:rsidR="00F57D7A" w:rsidRPr="00F57D7A">
          <w:rPr>
            <w:rFonts w:ascii="Trebuchet MS" w:eastAsia="Times New Roman" w:hAnsi="Trebuchet MS"/>
            <w:color w:val="777777"/>
            <w:sz w:val="20"/>
            <w:u w:val="single"/>
            <w:lang w:val="pt-BR" w:eastAsia="pt-BR" w:bidi="ar-SA"/>
          </w:rPr>
          <w:t>[topo]</w:t>
        </w:r>
      </w:hyperlink>
    </w:p>
    <w:p w:rsidR="00F57D7A" w:rsidRPr="00F57D7A" w:rsidRDefault="00F57D7A" w:rsidP="00F57D7A">
      <w:pPr>
        <w:shd w:val="clear" w:color="auto" w:fill="FFFFFF"/>
        <w:rPr>
          <w:rFonts w:ascii="Trebuchet MS" w:eastAsia="Times New Roman" w:hAnsi="Trebuchet MS"/>
          <w:color w:val="000000"/>
          <w:sz w:val="20"/>
          <w:szCs w:val="20"/>
          <w:lang w:val="pt-BR" w:eastAsia="pt-BR" w:bidi="ar-SA"/>
        </w:rPr>
      </w:pPr>
      <w:r w:rsidRPr="00F57D7A">
        <w:rPr>
          <w:rFonts w:ascii="Trebuchet MS" w:eastAsia="Times New Roman" w:hAnsi="Trebuchet MS"/>
          <w:color w:val="000000"/>
          <w:sz w:val="20"/>
          <w:szCs w:val="20"/>
          <w:lang w:val="pt-BR" w:eastAsia="pt-BR" w:bidi="ar-SA"/>
        </w:rPr>
        <w:t>NOTAS</w:t>
      </w:r>
    </w:p>
    <w:p w:rsidR="00F57D7A" w:rsidRPr="00F57D7A" w:rsidRDefault="00F57D7A" w:rsidP="00F57D7A">
      <w:pPr>
        <w:shd w:val="clear" w:color="auto" w:fill="FFFFFF"/>
        <w:rPr>
          <w:rFonts w:ascii="Trebuchet MS" w:eastAsia="Times New Roman" w:hAnsi="Trebuchet MS"/>
          <w:color w:val="000000"/>
          <w:sz w:val="20"/>
          <w:szCs w:val="20"/>
          <w:lang w:val="pt-BR" w:eastAsia="pt-BR" w:bidi="ar-SA"/>
        </w:rPr>
      </w:pPr>
      <w:proofErr w:type="gramStart"/>
      <w:r w:rsidRPr="00F57D7A">
        <w:rPr>
          <w:rFonts w:ascii="Trebuchet MS" w:eastAsia="Times New Roman" w:hAnsi="Trebuchet MS"/>
          <w:color w:val="000000"/>
          <w:sz w:val="20"/>
          <w:szCs w:val="20"/>
          <w:lang w:eastAsia="pt-BR" w:bidi="ar-SA"/>
        </w:rPr>
        <w:t>1 WALLERATH, Maximilian.</w:t>
      </w:r>
      <w:proofErr w:type="gramEnd"/>
      <w:r w:rsidRPr="00F57D7A">
        <w:rPr>
          <w:rFonts w:ascii="Trebuchet MS" w:eastAsia="Times New Roman" w:hAnsi="Trebuchet MS"/>
          <w:color w:val="000000"/>
          <w:sz w:val="20"/>
          <w:szCs w:val="20"/>
          <w:lang w:eastAsia="pt-BR" w:bidi="ar-SA"/>
        </w:rPr>
        <w:t xml:space="preserve"> </w:t>
      </w:r>
      <w:proofErr w:type="spellStart"/>
      <w:proofErr w:type="gramStart"/>
      <w:r w:rsidRPr="00F57D7A">
        <w:rPr>
          <w:rFonts w:ascii="Trebuchet MS" w:eastAsia="Times New Roman" w:hAnsi="Trebuchet MS"/>
          <w:color w:val="000000"/>
          <w:sz w:val="20"/>
          <w:szCs w:val="20"/>
          <w:lang w:eastAsia="pt-BR" w:bidi="ar-SA"/>
        </w:rPr>
        <w:t>Zur</w:t>
      </w:r>
      <w:proofErr w:type="spellEnd"/>
      <w:r w:rsidRPr="00F57D7A">
        <w:rPr>
          <w:rFonts w:ascii="Trebuchet MS" w:eastAsia="Times New Roman" w:hAnsi="Trebuchet MS"/>
          <w:color w:val="000000"/>
          <w:sz w:val="20"/>
          <w:szCs w:val="20"/>
          <w:lang w:eastAsia="pt-BR" w:bidi="ar-SA"/>
        </w:rPr>
        <w:t xml:space="preserve"> </w:t>
      </w:r>
      <w:proofErr w:type="spellStart"/>
      <w:r w:rsidRPr="00F57D7A">
        <w:rPr>
          <w:rFonts w:ascii="Trebuchet MS" w:eastAsia="Times New Roman" w:hAnsi="Trebuchet MS"/>
          <w:color w:val="000000"/>
          <w:sz w:val="20"/>
          <w:szCs w:val="20"/>
          <w:lang w:eastAsia="pt-BR" w:bidi="ar-SA"/>
        </w:rPr>
        <w:t>dogmatik</w:t>
      </w:r>
      <w:proofErr w:type="spellEnd"/>
      <w:r w:rsidRPr="00F57D7A">
        <w:rPr>
          <w:rFonts w:ascii="Trebuchet MS" w:eastAsia="Times New Roman" w:hAnsi="Trebuchet MS"/>
          <w:color w:val="000000"/>
          <w:sz w:val="20"/>
          <w:szCs w:val="20"/>
          <w:lang w:eastAsia="pt-BR" w:bidi="ar-SA"/>
        </w:rPr>
        <w:t xml:space="preserve"> </w:t>
      </w:r>
      <w:proofErr w:type="spellStart"/>
      <w:r w:rsidRPr="00F57D7A">
        <w:rPr>
          <w:rFonts w:ascii="Trebuchet MS" w:eastAsia="Times New Roman" w:hAnsi="Trebuchet MS"/>
          <w:color w:val="000000"/>
          <w:sz w:val="20"/>
          <w:szCs w:val="20"/>
          <w:lang w:eastAsia="pt-BR" w:bidi="ar-SA"/>
        </w:rPr>
        <w:t>eines</w:t>
      </w:r>
      <w:proofErr w:type="spellEnd"/>
      <w:r w:rsidRPr="00F57D7A">
        <w:rPr>
          <w:rFonts w:ascii="Trebuchet MS" w:eastAsia="Times New Roman" w:hAnsi="Trebuchet MS"/>
          <w:color w:val="000000"/>
          <w:sz w:val="20"/>
          <w:szCs w:val="20"/>
          <w:lang w:eastAsia="pt-BR" w:bidi="ar-SA"/>
        </w:rPr>
        <w:t xml:space="preserve"> </w:t>
      </w:r>
      <w:proofErr w:type="spellStart"/>
      <w:r w:rsidRPr="00F57D7A">
        <w:rPr>
          <w:rFonts w:ascii="Trebuchet MS" w:eastAsia="Times New Roman" w:hAnsi="Trebuchet MS"/>
          <w:color w:val="000000"/>
          <w:sz w:val="20"/>
          <w:szCs w:val="20"/>
          <w:lang w:eastAsia="pt-BR" w:bidi="ar-SA"/>
        </w:rPr>
        <w:t>rechts</w:t>
      </w:r>
      <w:proofErr w:type="spellEnd"/>
      <w:r w:rsidRPr="00F57D7A">
        <w:rPr>
          <w:rFonts w:ascii="Trebuchet MS" w:eastAsia="Times New Roman" w:hAnsi="Trebuchet MS"/>
          <w:color w:val="000000"/>
          <w:sz w:val="20"/>
          <w:szCs w:val="20"/>
          <w:lang w:eastAsia="pt-BR" w:bidi="ar-SA"/>
        </w:rPr>
        <w:t xml:space="preserve"> auf </w:t>
      </w:r>
      <w:proofErr w:type="spellStart"/>
      <w:r w:rsidRPr="00F57D7A">
        <w:rPr>
          <w:rFonts w:ascii="Trebuchet MS" w:eastAsia="Times New Roman" w:hAnsi="Trebuchet MS"/>
          <w:color w:val="000000"/>
          <w:sz w:val="20"/>
          <w:szCs w:val="20"/>
          <w:lang w:eastAsia="pt-BR" w:bidi="ar-SA"/>
        </w:rPr>
        <w:t>sicherung</w:t>
      </w:r>
      <w:proofErr w:type="spellEnd"/>
      <w:r w:rsidRPr="00F57D7A">
        <w:rPr>
          <w:rFonts w:ascii="Trebuchet MS" w:eastAsia="Times New Roman" w:hAnsi="Trebuchet MS"/>
          <w:color w:val="000000"/>
          <w:sz w:val="20"/>
          <w:szCs w:val="20"/>
          <w:lang w:eastAsia="pt-BR" w:bidi="ar-SA"/>
        </w:rPr>
        <w:t xml:space="preserve"> des </w:t>
      </w:r>
      <w:proofErr w:type="spellStart"/>
      <w:r w:rsidRPr="00F57D7A">
        <w:rPr>
          <w:rFonts w:ascii="Trebuchet MS" w:eastAsia="Times New Roman" w:hAnsi="Trebuchet MS"/>
          <w:color w:val="000000"/>
          <w:sz w:val="20"/>
          <w:szCs w:val="20"/>
          <w:lang w:eastAsia="pt-BR" w:bidi="ar-SA"/>
        </w:rPr>
        <w:t>existenzminimums</w:t>
      </w:r>
      <w:proofErr w:type="spellEnd"/>
      <w:r w:rsidRPr="00F57D7A">
        <w:rPr>
          <w:rFonts w:ascii="Trebuchet MS" w:eastAsia="Times New Roman" w:hAnsi="Trebuchet MS"/>
          <w:color w:val="000000"/>
          <w:sz w:val="20"/>
          <w:szCs w:val="20"/>
          <w:lang w:eastAsia="pt-BR" w:bidi="ar-SA"/>
        </w:rPr>
        <w:t>.</w:t>
      </w:r>
      <w:proofErr w:type="gramEnd"/>
      <w:r w:rsidRPr="00F57D7A">
        <w:rPr>
          <w:rFonts w:ascii="Trebuchet MS" w:eastAsia="Times New Roman" w:hAnsi="Trebuchet MS"/>
          <w:color w:val="000000"/>
          <w:sz w:val="20"/>
          <w:szCs w:val="20"/>
          <w:lang w:eastAsia="pt-BR" w:bidi="ar-SA"/>
        </w:rPr>
        <w:t xml:space="preserve"> </w:t>
      </w:r>
      <w:proofErr w:type="spellStart"/>
      <w:proofErr w:type="gramStart"/>
      <w:r w:rsidRPr="00F57D7A">
        <w:rPr>
          <w:rFonts w:ascii="Trebuchet MS" w:eastAsia="Times New Roman" w:hAnsi="Trebuchet MS"/>
          <w:color w:val="000000"/>
          <w:sz w:val="20"/>
          <w:szCs w:val="20"/>
          <w:lang w:eastAsia="pt-BR" w:bidi="ar-SA"/>
        </w:rPr>
        <w:t>Ein</w:t>
      </w:r>
      <w:proofErr w:type="spellEnd"/>
      <w:r w:rsidRPr="00F57D7A">
        <w:rPr>
          <w:rFonts w:ascii="Trebuchet MS" w:eastAsia="Times New Roman" w:hAnsi="Trebuchet MS"/>
          <w:color w:val="000000"/>
          <w:sz w:val="20"/>
          <w:szCs w:val="20"/>
          <w:lang w:eastAsia="pt-BR" w:bidi="ar-SA"/>
        </w:rPr>
        <w:t xml:space="preserve"> </w:t>
      </w:r>
      <w:proofErr w:type="spellStart"/>
      <w:r w:rsidRPr="00F57D7A">
        <w:rPr>
          <w:rFonts w:ascii="Trebuchet MS" w:eastAsia="Times New Roman" w:hAnsi="Trebuchet MS"/>
          <w:color w:val="000000"/>
          <w:sz w:val="20"/>
          <w:szCs w:val="20"/>
          <w:lang w:eastAsia="pt-BR" w:bidi="ar-SA"/>
        </w:rPr>
        <w:t>beitrag</w:t>
      </w:r>
      <w:proofErr w:type="spellEnd"/>
      <w:r w:rsidRPr="00F57D7A">
        <w:rPr>
          <w:rFonts w:ascii="Trebuchet MS" w:eastAsia="Times New Roman" w:hAnsi="Trebuchet MS"/>
          <w:color w:val="000000"/>
          <w:sz w:val="20"/>
          <w:szCs w:val="20"/>
          <w:lang w:eastAsia="pt-BR" w:bidi="ar-SA"/>
        </w:rPr>
        <w:t xml:space="preserve"> </w:t>
      </w:r>
      <w:proofErr w:type="spellStart"/>
      <w:r w:rsidRPr="00F57D7A">
        <w:rPr>
          <w:rFonts w:ascii="Trebuchet MS" w:eastAsia="Times New Roman" w:hAnsi="Trebuchet MS"/>
          <w:color w:val="000000"/>
          <w:sz w:val="20"/>
          <w:szCs w:val="20"/>
          <w:lang w:eastAsia="pt-BR" w:bidi="ar-SA"/>
        </w:rPr>
        <w:t>zur</w:t>
      </w:r>
      <w:proofErr w:type="spellEnd"/>
      <w:r w:rsidRPr="00F57D7A">
        <w:rPr>
          <w:rFonts w:ascii="Trebuchet MS" w:eastAsia="Times New Roman" w:hAnsi="Trebuchet MS"/>
          <w:color w:val="000000"/>
          <w:sz w:val="20"/>
          <w:szCs w:val="20"/>
          <w:lang w:eastAsia="pt-BR" w:bidi="ar-SA"/>
        </w:rPr>
        <w:t xml:space="preserve"> </w:t>
      </w:r>
      <w:proofErr w:type="spellStart"/>
      <w:r w:rsidRPr="00F57D7A">
        <w:rPr>
          <w:rFonts w:ascii="Trebuchet MS" w:eastAsia="Times New Roman" w:hAnsi="Trebuchet MS"/>
          <w:color w:val="000000"/>
          <w:sz w:val="20"/>
          <w:szCs w:val="20"/>
          <w:lang w:eastAsia="pt-BR" w:bidi="ar-SA"/>
        </w:rPr>
        <w:t>schutzdimension</w:t>
      </w:r>
      <w:proofErr w:type="spellEnd"/>
      <w:r w:rsidRPr="00F57D7A">
        <w:rPr>
          <w:rFonts w:ascii="Trebuchet MS" w:eastAsia="Times New Roman" w:hAnsi="Trebuchet MS"/>
          <w:color w:val="000000"/>
          <w:sz w:val="20"/>
          <w:szCs w:val="20"/>
          <w:lang w:eastAsia="pt-BR" w:bidi="ar-SA"/>
        </w:rPr>
        <w:t xml:space="preserve"> des art.</w:t>
      </w:r>
      <w:proofErr w:type="gramEnd"/>
      <w:r w:rsidRPr="00F57D7A">
        <w:rPr>
          <w:rFonts w:ascii="Trebuchet MS" w:eastAsia="Times New Roman" w:hAnsi="Trebuchet MS"/>
          <w:color w:val="000000"/>
          <w:sz w:val="20"/>
          <w:szCs w:val="20"/>
          <w:lang w:eastAsia="pt-BR" w:bidi="ar-SA"/>
        </w:rPr>
        <w:t xml:space="preserve"> </w:t>
      </w:r>
      <w:proofErr w:type="gramStart"/>
      <w:r w:rsidRPr="00F57D7A">
        <w:rPr>
          <w:rFonts w:ascii="Trebuchet MS" w:eastAsia="Times New Roman" w:hAnsi="Trebuchet MS"/>
          <w:color w:val="000000"/>
          <w:sz w:val="20"/>
          <w:szCs w:val="20"/>
          <w:lang w:eastAsia="pt-BR" w:bidi="ar-SA"/>
        </w:rPr>
        <w:t xml:space="preserve">1 abs. 1 </w:t>
      </w:r>
      <w:proofErr w:type="spellStart"/>
      <w:r w:rsidRPr="00F57D7A">
        <w:rPr>
          <w:rFonts w:ascii="Trebuchet MS" w:eastAsia="Times New Roman" w:hAnsi="Trebuchet MS"/>
          <w:color w:val="000000"/>
          <w:sz w:val="20"/>
          <w:szCs w:val="20"/>
          <w:lang w:eastAsia="pt-BR" w:bidi="ar-SA"/>
        </w:rPr>
        <w:t>satz</w:t>
      </w:r>
      <w:proofErr w:type="spellEnd"/>
      <w:r w:rsidRPr="00F57D7A">
        <w:rPr>
          <w:rFonts w:ascii="Trebuchet MS" w:eastAsia="Times New Roman" w:hAnsi="Trebuchet MS"/>
          <w:color w:val="000000"/>
          <w:sz w:val="20"/>
          <w:szCs w:val="20"/>
          <w:lang w:eastAsia="pt-BR" w:bidi="ar-SA"/>
        </w:rPr>
        <w:t xml:space="preserve"> 2.</w:t>
      </w:r>
      <w:proofErr w:type="gramEnd"/>
      <w:r w:rsidRPr="00F57D7A">
        <w:rPr>
          <w:rFonts w:ascii="Trebuchet MS" w:eastAsia="Times New Roman" w:hAnsi="Trebuchet MS"/>
          <w:color w:val="000000"/>
          <w:sz w:val="20"/>
          <w:szCs w:val="20"/>
          <w:lang w:eastAsia="pt-BR" w:bidi="ar-SA"/>
        </w:rPr>
        <w:t xml:space="preserve"> In: </w:t>
      </w:r>
      <w:proofErr w:type="spellStart"/>
      <w:r w:rsidRPr="00F57D7A">
        <w:rPr>
          <w:rFonts w:ascii="Trebuchet MS" w:eastAsia="Times New Roman" w:hAnsi="Trebuchet MS"/>
          <w:color w:val="000000"/>
          <w:sz w:val="20"/>
          <w:szCs w:val="20"/>
          <w:lang w:eastAsia="pt-BR" w:bidi="ar-SA"/>
        </w:rPr>
        <w:t>Juristen</w:t>
      </w:r>
      <w:proofErr w:type="spellEnd"/>
      <w:r w:rsidRPr="00F57D7A">
        <w:rPr>
          <w:rFonts w:ascii="Trebuchet MS" w:eastAsia="Times New Roman" w:hAnsi="Trebuchet MS"/>
          <w:color w:val="000000"/>
          <w:sz w:val="20"/>
          <w:szCs w:val="20"/>
          <w:lang w:eastAsia="pt-BR" w:bidi="ar-SA"/>
        </w:rPr>
        <w:t xml:space="preserve"> </w:t>
      </w:r>
      <w:proofErr w:type="spellStart"/>
      <w:r w:rsidRPr="00F57D7A">
        <w:rPr>
          <w:rFonts w:ascii="Trebuchet MS" w:eastAsia="Times New Roman" w:hAnsi="Trebuchet MS"/>
          <w:color w:val="000000"/>
          <w:sz w:val="20"/>
          <w:szCs w:val="20"/>
          <w:lang w:eastAsia="pt-BR" w:bidi="ar-SA"/>
        </w:rPr>
        <w:t>Zeitung</w:t>
      </w:r>
      <w:proofErr w:type="spellEnd"/>
      <w:r w:rsidRPr="00F57D7A">
        <w:rPr>
          <w:rFonts w:ascii="Trebuchet MS" w:eastAsia="Times New Roman" w:hAnsi="Trebuchet MS"/>
          <w:color w:val="000000"/>
          <w:sz w:val="20"/>
          <w:szCs w:val="20"/>
          <w:lang w:eastAsia="pt-BR" w:bidi="ar-SA"/>
        </w:rPr>
        <w:t xml:space="preserve"> 4, 63 </w:t>
      </w:r>
      <w:proofErr w:type="spellStart"/>
      <w:r w:rsidRPr="00F57D7A">
        <w:rPr>
          <w:rFonts w:ascii="Trebuchet MS" w:eastAsia="Times New Roman" w:hAnsi="Trebuchet MS"/>
          <w:color w:val="000000"/>
          <w:sz w:val="20"/>
          <w:szCs w:val="20"/>
          <w:lang w:eastAsia="pt-BR" w:bidi="ar-SA"/>
        </w:rPr>
        <w:t>Jahrgang</w:t>
      </w:r>
      <w:proofErr w:type="spellEnd"/>
      <w:r w:rsidRPr="00F57D7A">
        <w:rPr>
          <w:rFonts w:ascii="Trebuchet MS" w:eastAsia="Times New Roman" w:hAnsi="Trebuchet MS"/>
          <w:color w:val="000000"/>
          <w:sz w:val="20"/>
          <w:szCs w:val="20"/>
          <w:lang w:eastAsia="pt-BR" w:bidi="ar-SA"/>
        </w:rPr>
        <w:t xml:space="preserve">, 15. </w:t>
      </w:r>
      <w:proofErr w:type="spellStart"/>
      <w:r w:rsidRPr="00F57D7A">
        <w:rPr>
          <w:rFonts w:ascii="Trebuchet MS" w:eastAsia="Times New Roman" w:hAnsi="Trebuchet MS"/>
          <w:color w:val="000000"/>
          <w:sz w:val="20"/>
          <w:szCs w:val="20"/>
          <w:lang w:val="pt-BR" w:eastAsia="pt-BR" w:bidi="ar-SA"/>
        </w:rPr>
        <w:t>Februar</w:t>
      </w:r>
      <w:proofErr w:type="spellEnd"/>
      <w:r w:rsidRPr="00F57D7A">
        <w:rPr>
          <w:rFonts w:ascii="Trebuchet MS" w:eastAsia="Times New Roman" w:hAnsi="Trebuchet MS"/>
          <w:color w:val="000000"/>
          <w:sz w:val="20"/>
          <w:szCs w:val="20"/>
          <w:lang w:val="pt-BR" w:eastAsia="pt-BR" w:bidi="ar-SA"/>
        </w:rPr>
        <w:t xml:space="preserve"> 2008, p. 157.</w:t>
      </w:r>
      <w:r w:rsidRPr="00F57D7A">
        <w:rPr>
          <w:rFonts w:ascii="Trebuchet MS" w:eastAsia="Times New Roman" w:hAnsi="Trebuchet MS"/>
          <w:color w:val="000000"/>
          <w:sz w:val="20"/>
          <w:szCs w:val="20"/>
          <w:lang w:val="pt-BR" w:eastAsia="pt-BR" w:bidi="ar-SA"/>
        </w:rPr>
        <w:br/>
      </w:r>
      <w:r w:rsidRPr="00F57D7A">
        <w:rPr>
          <w:rFonts w:ascii="Trebuchet MS" w:eastAsia="Times New Roman" w:hAnsi="Trebuchet MS"/>
          <w:color w:val="000000"/>
          <w:sz w:val="20"/>
          <w:szCs w:val="20"/>
          <w:lang w:val="pt-BR" w:eastAsia="pt-BR" w:bidi="ar-SA"/>
        </w:rPr>
        <w:br/>
        <w:t>2 O princípio da reserva do possível “</w:t>
      </w:r>
      <w:proofErr w:type="spellStart"/>
      <w:r w:rsidRPr="00F57D7A">
        <w:rPr>
          <w:rFonts w:ascii="Trebuchet MS" w:eastAsia="Times New Roman" w:hAnsi="Trebuchet MS"/>
          <w:color w:val="000000"/>
          <w:sz w:val="20"/>
          <w:szCs w:val="20"/>
          <w:lang w:val="pt-BR" w:eastAsia="pt-BR" w:bidi="ar-SA"/>
        </w:rPr>
        <w:t>vorbehalt</w:t>
      </w:r>
      <w:proofErr w:type="spellEnd"/>
      <w:r w:rsidRPr="00F57D7A">
        <w:rPr>
          <w:rFonts w:ascii="Trebuchet MS" w:eastAsia="Times New Roman" w:hAnsi="Trebuchet MS"/>
          <w:color w:val="000000"/>
          <w:sz w:val="20"/>
          <w:szCs w:val="20"/>
          <w:lang w:val="pt-BR" w:eastAsia="pt-BR" w:bidi="ar-SA"/>
        </w:rPr>
        <w:t xml:space="preserve"> </w:t>
      </w:r>
      <w:proofErr w:type="spellStart"/>
      <w:r w:rsidRPr="00F57D7A">
        <w:rPr>
          <w:rFonts w:ascii="Trebuchet MS" w:eastAsia="Times New Roman" w:hAnsi="Trebuchet MS"/>
          <w:color w:val="000000"/>
          <w:sz w:val="20"/>
          <w:szCs w:val="20"/>
          <w:lang w:val="pt-BR" w:eastAsia="pt-BR" w:bidi="ar-SA"/>
        </w:rPr>
        <w:t>des</w:t>
      </w:r>
      <w:proofErr w:type="spellEnd"/>
      <w:r w:rsidRPr="00F57D7A">
        <w:rPr>
          <w:rFonts w:ascii="Trebuchet MS" w:eastAsia="Times New Roman" w:hAnsi="Trebuchet MS"/>
          <w:color w:val="000000"/>
          <w:sz w:val="20"/>
          <w:szCs w:val="20"/>
          <w:lang w:val="pt-BR" w:eastAsia="pt-BR" w:bidi="ar-SA"/>
        </w:rPr>
        <w:t xml:space="preserve"> </w:t>
      </w:r>
      <w:proofErr w:type="spellStart"/>
      <w:r w:rsidRPr="00F57D7A">
        <w:rPr>
          <w:rFonts w:ascii="Trebuchet MS" w:eastAsia="Times New Roman" w:hAnsi="Trebuchet MS"/>
          <w:color w:val="000000"/>
          <w:sz w:val="20"/>
          <w:szCs w:val="20"/>
          <w:lang w:val="pt-BR" w:eastAsia="pt-BR" w:bidi="ar-SA"/>
        </w:rPr>
        <w:t>möglichen</w:t>
      </w:r>
      <w:proofErr w:type="spellEnd"/>
      <w:r w:rsidRPr="00F57D7A">
        <w:rPr>
          <w:rFonts w:ascii="Trebuchet MS" w:eastAsia="Times New Roman" w:hAnsi="Trebuchet MS"/>
          <w:color w:val="000000"/>
          <w:sz w:val="20"/>
          <w:szCs w:val="20"/>
          <w:lang w:val="pt-BR" w:eastAsia="pt-BR" w:bidi="ar-SA"/>
        </w:rPr>
        <w:t xml:space="preserve">”, para a doutrina alemã, não se reporta apenas à capacidade econômica do Estado, mas também ao respeito à liberdade de conformação do legislador de decidir sobre políticas públicas prioritárias. Cf., por todos, MURSWIEK, Dietrich. </w:t>
      </w:r>
      <w:proofErr w:type="spellStart"/>
      <w:r w:rsidRPr="00F57D7A">
        <w:rPr>
          <w:rFonts w:ascii="Trebuchet MS" w:eastAsia="Times New Roman" w:hAnsi="Trebuchet MS"/>
          <w:color w:val="000000"/>
          <w:sz w:val="20"/>
          <w:szCs w:val="20"/>
          <w:lang w:val="pt-BR" w:eastAsia="pt-BR" w:bidi="ar-SA"/>
        </w:rPr>
        <w:t>Grundrechte</w:t>
      </w:r>
      <w:proofErr w:type="spellEnd"/>
      <w:r w:rsidRPr="00F57D7A">
        <w:rPr>
          <w:rFonts w:ascii="Trebuchet MS" w:eastAsia="Times New Roman" w:hAnsi="Trebuchet MS"/>
          <w:color w:val="000000"/>
          <w:sz w:val="20"/>
          <w:szCs w:val="20"/>
          <w:lang w:val="pt-BR" w:eastAsia="pt-BR" w:bidi="ar-SA"/>
        </w:rPr>
        <w:t xml:space="preserve"> </w:t>
      </w:r>
      <w:proofErr w:type="spellStart"/>
      <w:r w:rsidRPr="00F57D7A">
        <w:rPr>
          <w:rFonts w:ascii="Trebuchet MS" w:eastAsia="Times New Roman" w:hAnsi="Trebuchet MS"/>
          <w:color w:val="000000"/>
          <w:sz w:val="20"/>
          <w:szCs w:val="20"/>
          <w:lang w:val="pt-BR" w:eastAsia="pt-BR" w:bidi="ar-SA"/>
        </w:rPr>
        <w:t>als</w:t>
      </w:r>
      <w:proofErr w:type="spellEnd"/>
      <w:r w:rsidRPr="00F57D7A">
        <w:rPr>
          <w:rFonts w:ascii="Trebuchet MS" w:eastAsia="Times New Roman" w:hAnsi="Trebuchet MS"/>
          <w:color w:val="000000"/>
          <w:sz w:val="20"/>
          <w:szCs w:val="20"/>
          <w:lang w:val="pt-BR" w:eastAsia="pt-BR" w:bidi="ar-SA"/>
        </w:rPr>
        <w:t xml:space="preserve"> </w:t>
      </w:r>
      <w:proofErr w:type="spellStart"/>
      <w:r w:rsidRPr="00F57D7A">
        <w:rPr>
          <w:rFonts w:ascii="Trebuchet MS" w:eastAsia="Times New Roman" w:hAnsi="Trebuchet MS"/>
          <w:color w:val="000000"/>
          <w:sz w:val="20"/>
          <w:szCs w:val="20"/>
          <w:lang w:val="pt-BR" w:eastAsia="pt-BR" w:bidi="ar-SA"/>
        </w:rPr>
        <w:t>Teilhaberechte</w:t>
      </w:r>
      <w:proofErr w:type="spellEnd"/>
      <w:r w:rsidRPr="00F57D7A">
        <w:rPr>
          <w:rFonts w:ascii="Trebuchet MS" w:eastAsia="Times New Roman" w:hAnsi="Trebuchet MS"/>
          <w:color w:val="000000"/>
          <w:sz w:val="20"/>
          <w:szCs w:val="20"/>
          <w:lang w:val="pt-BR" w:eastAsia="pt-BR" w:bidi="ar-SA"/>
        </w:rPr>
        <w:t xml:space="preserve">, </w:t>
      </w:r>
      <w:proofErr w:type="spellStart"/>
      <w:r w:rsidRPr="00F57D7A">
        <w:rPr>
          <w:rFonts w:ascii="Trebuchet MS" w:eastAsia="Times New Roman" w:hAnsi="Trebuchet MS"/>
          <w:color w:val="000000"/>
          <w:sz w:val="20"/>
          <w:szCs w:val="20"/>
          <w:lang w:val="pt-BR" w:eastAsia="pt-BR" w:bidi="ar-SA"/>
        </w:rPr>
        <w:t>soziale</w:t>
      </w:r>
      <w:proofErr w:type="spellEnd"/>
      <w:r w:rsidRPr="00F57D7A">
        <w:rPr>
          <w:rFonts w:ascii="Trebuchet MS" w:eastAsia="Times New Roman" w:hAnsi="Trebuchet MS"/>
          <w:color w:val="000000"/>
          <w:sz w:val="20"/>
          <w:szCs w:val="20"/>
          <w:lang w:val="pt-BR" w:eastAsia="pt-BR" w:bidi="ar-SA"/>
        </w:rPr>
        <w:t xml:space="preserve"> </w:t>
      </w:r>
      <w:proofErr w:type="spellStart"/>
      <w:r w:rsidRPr="00F57D7A">
        <w:rPr>
          <w:rFonts w:ascii="Trebuchet MS" w:eastAsia="Times New Roman" w:hAnsi="Trebuchet MS"/>
          <w:color w:val="000000"/>
          <w:sz w:val="20"/>
          <w:szCs w:val="20"/>
          <w:lang w:val="pt-BR" w:eastAsia="pt-BR" w:bidi="ar-SA"/>
        </w:rPr>
        <w:t>Grundrechte</w:t>
      </w:r>
      <w:proofErr w:type="spellEnd"/>
      <w:r w:rsidRPr="00F57D7A">
        <w:rPr>
          <w:rFonts w:ascii="Trebuchet MS" w:eastAsia="Times New Roman" w:hAnsi="Trebuchet MS"/>
          <w:color w:val="000000"/>
          <w:sz w:val="20"/>
          <w:szCs w:val="20"/>
          <w:lang w:val="pt-BR" w:eastAsia="pt-BR" w:bidi="ar-SA"/>
        </w:rPr>
        <w:t>. In: ISENSEE, Josef; KIRCHHOF, Paul (</w:t>
      </w:r>
      <w:proofErr w:type="spellStart"/>
      <w:r w:rsidRPr="00F57D7A">
        <w:rPr>
          <w:rFonts w:ascii="Trebuchet MS" w:eastAsia="Times New Roman" w:hAnsi="Trebuchet MS"/>
          <w:color w:val="000000"/>
          <w:sz w:val="20"/>
          <w:szCs w:val="20"/>
          <w:lang w:val="pt-BR" w:eastAsia="pt-BR" w:bidi="ar-SA"/>
        </w:rPr>
        <w:t>Orgs</w:t>
      </w:r>
      <w:proofErr w:type="spellEnd"/>
      <w:r w:rsidRPr="00F57D7A">
        <w:rPr>
          <w:rFonts w:ascii="Trebuchet MS" w:eastAsia="Times New Roman" w:hAnsi="Trebuchet MS"/>
          <w:color w:val="000000"/>
          <w:sz w:val="20"/>
          <w:szCs w:val="20"/>
          <w:lang w:val="pt-BR" w:eastAsia="pt-BR" w:bidi="ar-SA"/>
        </w:rPr>
        <w:t xml:space="preserve">.). </w:t>
      </w:r>
      <w:proofErr w:type="spellStart"/>
      <w:proofErr w:type="gramStart"/>
      <w:r w:rsidRPr="00F57D7A">
        <w:rPr>
          <w:rFonts w:ascii="Trebuchet MS" w:eastAsia="Times New Roman" w:hAnsi="Trebuchet MS"/>
          <w:color w:val="000000"/>
          <w:sz w:val="20"/>
          <w:szCs w:val="20"/>
          <w:lang w:eastAsia="pt-BR" w:bidi="ar-SA"/>
        </w:rPr>
        <w:t>Handbuch</w:t>
      </w:r>
      <w:proofErr w:type="spellEnd"/>
      <w:r w:rsidRPr="00F57D7A">
        <w:rPr>
          <w:rFonts w:ascii="Trebuchet MS" w:eastAsia="Times New Roman" w:hAnsi="Trebuchet MS"/>
          <w:color w:val="000000"/>
          <w:sz w:val="20"/>
          <w:szCs w:val="20"/>
          <w:lang w:eastAsia="pt-BR" w:bidi="ar-SA"/>
        </w:rPr>
        <w:t xml:space="preserve"> des </w:t>
      </w:r>
      <w:proofErr w:type="spellStart"/>
      <w:r w:rsidRPr="00F57D7A">
        <w:rPr>
          <w:rFonts w:ascii="Trebuchet MS" w:eastAsia="Times New Roman" w:hAnsi="Trebuchet MS"/>
          <w:color w:val="000000"/>
          <w:sz w:val="20"/>
          <w:szCs w:val="20"/>
          <w:lang w:eastAsia="pt-BR" w:bidi="ar-SA"/>
        </w:rPr>
        <w:t>Staatsrechts</w:t>
      </w:r>
      <w:proofErr w:type="spellEnd"/>
      <w:r w:rsidRPr="00F57D7A">
        <w:rPr>
          <w:rFonts w:ascii="Trebuchet MS" w:eastAsia="Times New Roman" w:hAnsi="Trebuchet MS"/>
          <w:color w:val="000000"/>
          <w:sz w:val="20"/>
          <w:szCs w:val="20"/>
          <w:lang w:eastAsia="pt-BR" w:bidi="ar-SA"/>
        </w:rPr>
        <w:t>.</w:t>
      </w:r>
      <w:proofErr w:type="gramEnd"/>
      <w:r w:rsidRPr="00F57D7A">
        <w:rPr>
          <w:rFonts w:ascii="Trebuchet MS" w:eastAsia="Times New Roman" w:hAnsi="Trebuchet MS"/>
          <w:color w:val="000000"/>
          <w:sz w:val="20"/>
          <w:szCs w:val="20"/>
          <w:lang w:eastAsia="pt-BR" w:bidi="ar-SA"/>
        </w:rPr>
        <w:t xml:space="preserve"> V. V. 2. </w:t>
      </w:r>
      <w:proofErr w:type="gramStart"/>
      <w:r w:rsidRPr="00F57D7A">
        <w:rPr>
          <w:rFonts w:ascii="Trebuchet MS" w:eastAsia="Times New Roman" w:hAnsi="Trebuchet MS"/>
          <w:color w:val="000000"/>
          <w:sz w:val="20"/>
          <w:szCs w:val="20"/>
          <w:lang w:eastAsia="pt-BR" w:bidi="ar-SA"/>
        </w:rPr>
        <w:t>ed</w:t>
      </w:r>
      <w:proofErr w:type="gramEnd"/>
      <w:r w:rsidRPr="00F57D7A">
        <w:rPr>
          <w:rFonts w:ascii="Trebuchet MS" w:eastAsia="Times New Roman" w:hAnsi="Trebuchet MS"/>
          <w:color w:val="000000"/>
          <w:sz w:val="20"/>
          <w:szCs w:val="20"/>
          <w:lang w:eastAsia="pt-BR" w:bidi="ar-SA"/>
        </w:rPr>
        <w:t xml:space="preserve">. C.F. </w:t>
      </w:r>
      <w:proofErr w:type="spellStart"/>
      <w:r w:rsidRPr="00F57D7A">
        <w:rPr>
          <w:rFonts w:ascii="Trebuchet MS" w:eastAsia="Times New Roman" w:hAnsi="Trebuchet MS"/>
          <w:color w:val="000000"/>
          <w:sz w:val="20"/>
          <w:szCs w:val="20"/>
          <w:lang w:eastAsia="pt-BR" w:bidi="ar-SA"/>
        </w:rPr>
        <w:t>Müller</w:t>
      </w:r>
      <w:proofErr w:type="spellEnd"/>
      <w:r w:rsidRPr="00F57D7A">
        <w:rPr>
          <w:rFonts w:ascii="Trebuchet MS" w:eastAsia="Times New Roman" w:hAnsi="Trebuchet MS"/>
          <w:color w:val="000000"/>
          <w:sz w:val="20"/>
          <w:szCs w:val="20"/>
          <w:lang w:eastAsia="pt-BR" w:bidi="ar-SA"/>
        </w:rPr>
        <w:t xml:space="preserve">, Heidelberg, 2000, p. 267 e </w:t>
      </w:r>
      <w:proofErr w:type="spellStart"/>
      <w:r w:rsidRPr="00F57D7A">
        <w:rPr>
          <w:rFonts w:ascii="Trebuchet MS" w:eastAsia="Times New Roman" w:hAnsi="Trebuchet MS"/>
          <w:color w:val="000000"/>
          <w:sz w:val="20"/>
          <w:szCs w:val="20"/>
          <w:lang w:eastAsia="pt-BR" w:bidi="ar-SA"/>
        </w:rPr>
        <w:t>segs</w:t>
      </w:r>
      <w:proofErr w:type="spellEnd"/>
      <w:r w:rsidRPr="00F57D7A">
        <w:rPr>
          <w:rFonts w:ascii="Trebuchet MS" w:eastAsia="Times New Roman" w:hAnsi="Trebuchet MS"/>
          <w:color w:val="000000"/>
          <w:sz w:val="20"/>
          <w:szCs w:val="20"/>
          <w:lang w:eastAsia="pt-BR" w:bidi="ar-SA"/>
        </w:rPr>
        <w:t>.</w:t>
      </w:r>
      <w:r w:rsidRPr="00F57D7A">
        <w:rPr>
          <w:rFonts w:ascii="Trebuchet MS" w:eastAsia="Times New Roman" w:hAnsi="Trebuchet MS"/>
          <w:color w:val="000000"/>
          <w:sz w:val="20"/>
          <w:szCs w:val="20"/>
          <w:lang w:eastAsia="pt-BR" w:bidi="ar-SA"/>
        </w:rPr>
        <w:br/>
      </w:r>
      <w:r w:rsidRPr="00F57D7A">
        <w:rPr>
          <w:rFonts w:ascii="Trebuchet MS" w:eastAsia="Times New Roman" w:hAnsi="Trebuchet MS"/>
          <w:color w:val="000000"/>
          <w:sz w:val="20"/>
          <w:szCs w:val="20"/>
          <w:lang w:eastAsia="pt-BR" w:bidi="ar-SA"/>
        </w:rPr>
        <w:br/>
      </w:r>
      <w:proofErr w:type="gramStart"/>
      <w:r w:rsidRPr="00F57D7A">
        <w:rPr>
          <w:rFonts w:ascii="Trebuchet MS" w:eastAsia="Times New Roman" w:hAnsi="Trebuchet MS"/>
          <w:color w:val="000000"/>
          <w:sz w:val="20"/>
          <w:szCs w:val="20"/>
          <w:lang w:val="pt-BR" w:eastAsia="pt-BR" w:bidi="ar-SA"/>
        </w:rPr>
        <w:t>3</w:t>
      </w:r>
      <w:proofErr w:type="gramEnd"/>
      <w:r w:rsidRPr="00F57D7A">
        <w:rPr>
          <w:rFonts w:ascii="Trebuchet MS" w:eastAsia="Times New Roman" w:hAnsi="Trebuchet MS"/>
          <w:color w:val="000000"/>
          <w:sz w:val="20"/>
          <w:szCs w:val="20"/>
          <w:lang w:val="pt-BR" w:eastAsia="pt-BR" w:bidi="ar-SA"/>
        </w:rPr>
        <w:t xml:space="preserve"> No nosso entender, de forma acertada, </w:t>
      </w:r>
      <w:proofErr w:type="spellStart"/>
      <w:r w:rsidRPr="00F57D7A">
        <w:rPr>
          <w:rFonts w:ascii="Trebuchet MS" w:eastAsia="Times New Roman" w:hAnsi="Trebuchet MS"/>
          <w:color w:val="000000"/>
          <w:sz w:val="20"/>
          <w:szCs w:val="20"/>
          <w:lang w:val="pt-BR" w:eastAsia="pt-BR" w:bidi="ar-SA"/>
        </w:rPr>
        <w:t>Dimitri</w:t>
      </w:r>
      <w:proofErr w:type="spellEnd"/>
      <w:r w:rsidRPr="00F57D7A">
        <w:rPr>
          <w:rFonts w:ascii="Trebuchet MS" w:eastAsia="Times New Roman" w:hAnsi="Trebuchet MS"/>
          <w:color w:val="000000"/>
          <w:sz w:val="20"/>
          <w:szCs w:val="20"/>
          <w:lang w:val="pt-BR" w:eastAsia="pt-BR" w:bidi="ar-SA"/>
        </w:rPr>
        <w:t xml:space="preserve"> </w:t>
      </w:r>
      <w:proofErr w:type="spellStart"/>
      <w:r w:rsidRPr="00F57D7A">
        <w:rPr>
          <w:rFonts w:ascii="Trebuchet MS" w:eastAsia="Times New Roman" w:hAnsi="Trebuchet MS"/>
          <w:color w:val="000000"/>
          <w:sz w:val="20"/>
          <w:szCs w:val="20"/>
          <w:lang w:val="pt-BR" w:eastAsia="pt-BR" w:bidi="ar-SA"/>
        </w:rPr>
        <w:t>Dimoulis</w:t>
      </w:r>
      <w:proofErr w:type="spellEnd"/>
      <w:r w:rsidRPr="00F57D7A">
        <w:rPr>
          <w:rFonts w:ascii="Trebuchet MS" w:eastAsia="Times New Roman" w:hAnsi="Trebuchet MS"/>
          <w:color w:val="000000"/>
          <w:sz w:val="20"/>
          <w:szCs w:val="20"/>
          <w:lang w:val="pt-BR" w:eastAsia="pt-BR" w:bidi="ar-SA"/>
        </w:rPr>
        <w:t xml:space="preserve"> e Leonardo Martins afirmam que tal decisão não se coaduna diretamente com a problemática dos direitos fundamentais sociais em sentido estrito. No contexto alemão, tratava-se da análise judicial da intervenção do Estado na liberdade profissional de candidatos ao curso de Medicina em universidade alemã. Cf. DIMOULIS, </w:t>
      </w:r>
      <w:proofErr w:type="spellStart"/>
      <w:r w:rsidRPr="00F57D7A">
        <w:rPr>
          <w:rFonts w:ascii="Trebuchet MS" w:eastAsia="Times New Roman" w:hAnsi="Trebuchet MS"/>
          <w:color w:val="000000"/>
          <w:sz w:val="20"/>
          <w:szCs w:val="20"/>
          <w:lang w:val="pt-BR" w:eastAsia="pt-BR" w:bidi="ar-SA"/>
        </w:rPr>
        <w:t>Dimitri</w:t>
      </w:r>
      <w:proofErr w:type="spellEnd"/>
      <w:r w:rsidRPr="00F57D7A">
        <w:rPr>
          <w:rFonts w:ascii="Trebuchet MS" w:eastAsia="Times New Roman" w:hAnsi="Trebuchet MS"/>
          <w:color w:val="000000"/>
          <w:sz w:val="20"/>
          <w:szCs w:val="20"/>
          <w:lang w:val="pt-BR" w:eastAsia="pt-BR" w:bidi="ar-SA"/>
        </w:rPr>
        <w:t>; MARTINS, Leonardo. Teoria Geral dos Direitos Fundamentais. São Paulo: RT, 2007, p. 131.</w:t>
      </w:r>
      <w:r w:rsidRPr="00F57D7A">
        <w:rPr>
          <w:rFonts w:ascii="Trebuchet MS" w:eastAsia="Times New Roman" w:hAnsi="Trebuchet MS"/>
          <w:color w:val="000000"/>
          <w:sz w:val="20"/>
          <w:szCs w:val="20"/>
          <w:lang w:val="pt-BR" w:eastAsia="pt-BR" w:bidi="ar-SA"/>
        </w:rPr>
        <w:br/>
      </w:r>
      <w:r w:rsidRPr="00F57D7A">
        <w:rPr>
          <w:rFonts w:ascii="Trebuchet MS" w:eastAsia="Times New Roman" w:hAnsi="Trebuchet MS"/>
          <w:color w:val="000000"/>
          <w:sz w:val="20"/>
          <w:szCs w:val="20"/>
          <w:lang w:val="pt-BR" w:eastAsia="pt-BR" w:bidi="ar-SA"/>
        </w:rPr>
        <w:br/>
        <w:t xml:space="preserve">4 Cf. SARLET, </w:t>
      </w:r>
      <w:proofErr w:type="spellStart"/>
      <w:r w:rsidRPr="00F57D7A">
        <w:rPr>
          <w:rFonts w:ascii="Trebuchet MS" w:eastAsia="Times New Roman" w:hAnsi="Trebuchet MS"/>
          <w:color w:val="000000"/>
          <w:sz w:val="20"/>
          <w:szCs w:val="20"/>
          <w:lang w:val="pt-BR" w:eastAsia="pt-BR" w:bidi="ar-SA"/>
        </w:rPr>
        <w:t>Ingo</w:t>
      </w:r>
      <w:proofErr w:type="spellEnd"/>
      <w:r w:rsidRPr="00F57D7A">
        <w:rPr>
          <w:rFonts w:ascii="Trebuchet MS" w:eastAsia="Times New Roman" w:hAnsi="Trebuchet MS"/>
          <w:color w:val="000000"/>
          <w:sz w:val="20"/>
          <w:szCs w:val="20"/>
          <w:lang w:val="pt-BR" w:eastAsia="pt-BR" w:bidi="ar-SA"/>
        </w:rPr>
        <w:t xml:space="preserve"> Wolfgang. A eficácia dos direitos fundamentais. Uma Teoria Geral dos </w:t>
      </w:r>
      <w:r w:rsidRPr="00F57D7A">
        <w:rPr>
          <w:rFonts w:ascii="Trebuchet MS" w:eastAsia="Times New Roman" w:hAnsi="Trebuchet MS"/>
          <w:color w:val="000000"/>
          <w:sz w:val="20"/>
          <w:szCs w:val="20"/>
          <w:lang w:val="pt-BR" w:eastAsia="pt-BR" w:bidi="ar-SA"/>
        </w:rPr>
        <w:lastRenderedPageBreak/>
        <w:t xml:space="preserve">Direitos Fundamentais na perspectiva constitucional. 10. </w:t>
      </w:r>
      <w:proofErr w:type="gramStart"/>
      <w:r w:rsidRPr="00F57D7A">
        <w:rPr>
          <w:rFonts w:ascii="Trebuchet MS" w:eastAsia="Times New Roman" w:hAnsi="Trebuchet MS"/>
          <w:color w:val="000000"/>
          <w:sz w:val="20"/>
          <w:szCs w:val="20"/>
          <w:lang w:val="pt-BR" w:eastAsia="pt-BR" w:bidi="ar-SA"/>
        </w:rPr>
        <w:t>ed.</w:t>
      </w:r>
      <w:proofErr w:type="gramEnd"/>
      <w:r w:rsidRPr="00F57D7A">
        <w:rPr>
          <w:rFonts w:ascii="Trebuchet MS" w:eastAsia="Times New Roman" w:hAnsi="Trebuchet MS"/>
          <w:color w:val="000000"/>
          <w:sz w:val="20"/>
          <w:szCs w:val="20"/>
          <w:lang w:val="pt-BR" w:eastAsia="pt-BR" w:bidi="ar-SA"/>
        </w:rPr>
        <w:t xml:space="preserve"> Porto Alegre: Livraria do Advogado, 2009, p. 287.</w:t>
      </w:r>
      <w:r w:rsidRPr="00F57D7A">
        <w:rPr>
          <w:rFonts w:ascii="Trebuchet MS" w:eastAsia="Times New Roman" w:hAnsi="Trebuchet MS"/>
          <w:color w:val="000000"/>
          <w:sz w:val="20"/>
          <w:szCs w:val="20"/>
          <w:lang w:val="pt-BR" w:eastAsia="pt-BR" w:bidi="ar-SA"/>
        </w:rPr>
        <w:br/>
      </w:r>
      <w:r w:rsidRPr="00F57D7A">
        <w:rPr>
          <w:rFonts w:ascii="Trebuchet MS" w:eastAsia="Times New Roman" w:hAnsi="Trebuchet MS"/>
          <w:color w:val="000000"/>
          <w:sz w:val="20"/>
          <w:szCs w:val="20"/>
          <w:lang w:val="pt-BR" w:eastAsia="pt-BR" w:bidi="ar-SA"/>
        </w:rPr>
        <w:br/>
        <w:t xml:space="preserve">5 SARLET, </w:t>
      </w:r>
      <w:proofErr w:type="spellStart"/>
      <w:r w:rsidRPr="00F57D7A">
        <w:rPr>
          <w:rFonts w:ascii="Trebuchet MS" w:eastAsia="Times New Roman" w:hAnsi="Trebuchet MS"/>
          <w:color w:val="000000"/>
          <w:sz w:val="20"/>
          <w:szCs w:val="20"/>
          <w:lang w:val="pt-BR" w:eastAsia="pt-BR" w:bidi="ar-SA"/>
        </w:rPr>
        <w:t>Ingo</w:t>
      </w:r>
      <w:proofErr w:type="spellEnd"/>
      <w:r w:rsidRPr="00F57D7A">
        <w:rPr>
          <w:rFonts w:ascii="Trebuchet MS" w:eastAsia="Times New Roman" w:hAnsi="Trebuchet MS"/>
          <w:color w:val="000000"/>
          <w:sz w:val="20"/>
          <w:szCs w:val="20"/>
          <w:lang w:val="pt-BR" w:eastAsia="pt-BR" w:bidi="ar-SA"/>
        </w:rPr>
        <w:t xml:space="preserve"> Wolfgang; FIGUEIREDO, Mariana F. Reserva do possível, mínimo existencial e direito à saúde: algumas aproximações. In: SARLET; TIMM, Luciano Benetti (</w:t>
      </w:r>
      <w:proofErr w:type="spellStart"/>
      <w:r w:rsidRPr="00F57D7A">
        <w:rPr>
          <w:rFonts w:ascii="Trebuchet MS" w:eastAsia="Times New Roman" w:hAnsi="Trebuchet MS"/>
          <w:color w:val="000000"/>
          <w:sz w:val="20"/>
          <w:szCs w:val="20"/>
          <w:lang w:val="pt-BR" w:eastAsia="pt-BR" w:bidi="ar-SA"/>
        </w:rPr>
        <w:t>Orgs</w:t>
      </w:r>
      <w:proofErr w:type="spellEnd"/>
      <w:r w:rsidRPr="00F57D7A">
        <w:rPr>
          <w:rFonts w:ascii="Trebuchet MS" w:eastAsia="Times New Roman" w:hAnsi="Trebuchet MS"/>
          <w:color w:val="000000"/>
          <w:sz w:val="20"/>
          <w:szCs w:val="20"/>
          <w:lang w:val="pt-BR" w:eastAsia="pt-BR" w:bidi="ar-SA"/>
        </w:rPr>
        <w:t xml:space="preserve">.). Direitos fundamentais, orçamento e “reserva do possível”. 2. </w:t>
      </w:r>
      <w:proofErr w:type="gramStart"/>
      <w:r w:rsidRPr="00F57D7A">
        <w:rPr>
          <w:rFonts w:ascii="Trebuchet MS" w:eastAsia="Times New Roman" w:hAnsi="Trebuchet MS"/>
          <w:color w:val="000000"/>
          <w:sz w:val="20"/>
          <w:szCs w:val="20"/>
          <w:lang w:val="pt-BR" w:eastAsia="pt-BR" w:bidi="ar-SA"/>
        </w:rPr>
        <w:t>ed.</w:t>
      </w:r>
      <w:proofErr w:type="gramEnd"/>
      <w:r w:rsidRPr="00F57D7A">
        <w:rPr>
          <w:rFonts w:ascii="Trebuchet MS" w:eastAsia="Times New Roman" w:hAnsi="Trebuchet MS"/>
          <w:color w:val="000000"/>
          <w:sz w:val="20"/>
          <w:szCs w:val="20"/>
          <w:lang w:val="pt-BR" w:eastAsia="pt-BR" w:bidi="ar-SA"/>
        </w:rPr>
        <w:t xml:space="preserve"> Porto Alegre: Livraria do Advogado, 2010, p. 203.</w:t>
      </w:r>
      <w:r w:rsidRPr="00F57D7A">
        <w:rPr>
          <w:rFonts w:ascii="Trebuchet MS" w:eastAsia="Times New Roman" w:hAnsi="Trebuchet MS"/>
          <w:color w:val="000000"/>
          <w:sz w:val="20"/>
          <w:szCs w:val="20"/>
          <w:lang w:val="pt-BR" w:eastAsia="pt-BR" w:bidi="ar-SA"/>
        </w:rPr>
        <w:br/>
      </w:r>
      <w:r w:rsidRPr="00F57D7A">
        <w:rPr>
          <w:rFonts w:ascii="Trebuchet MS" w:eastAsia="Times New Roman" w:hAnsi="Trebuchet MS"/>
          <w:color w:val="000000"/>
          <w:sz w:val="20"/>
          <w:szCs w:val="20"/>
          <w:lang w:val="pt-BR" w:eastAsia="pt-BR" w:bidi="ar-SA"/>
        </w:rPr>
        <w:br/>
        <w:t xml:space="preserve">6 De acordo com a teoria marxista, o Direito não pode ser entendido como um sistema mais elevado do que a estrutura econômica e do que o desenvolvimento cultural de uma determinada sociedade por ela (infraestrutura) condicionado. Cf. MARX, Karl. Crítica ao Programa de </w:t>
      </w:r>
      <w:proofErr w:type="spellStart"/>
      <w:r w:rsidRPr="00F57D7A">
        <w:rPr>
          <w:rFonts w:ascii="Trebuchet MS" w:eastAsia="Times New Roman" w:hAnsi="Trebuchet MS"/>
          <w:color w:val="000000"/>
          <w:sz w:val="20"/>
          <w:szCs w:val="20"/>
          <w:lang w:val="pt-BR" w:eastAsia="pt-BR" w:bidi="ar-SA"/>
        </w:rPr>
        <w:t>Gotha</w:t>
      </w:r>
      <w:proofErr w:type="spellEnd"/>
      <w:r w:rsidRPr="00F57D7A">
        <w:rPr>
          <w:rFonts w:ascii="Trebuchet MS" w:eastAsia="Times New Roman" w:hAnsi="Trebuchet MS"/>
          <w:color w:val="000000"/>
          <w:sz w:val="20"/>
          <w:szCs w:val="20"/>
          <w:lang w:val="pt-BR" w:eastAsia="pt-BR" w:bidi="ar-SA"/>
        </w:rPr>
        <w:t xml:space="preserve">. </w:t>
      </w:r>
      <w:proofErr w:type="gramStart"/>
      <w:r w:rsidRPr="00F57D7A">
        <w:rPr>
          <w:rFonts w:ascii="Trebuchet MS" w:eastAsia="Times New Roman" w:hAnsi="Trebuchet MS"/>
          <w:color w:val="000000"/>
          <w:sz w:val="20"/>
          <w:szCs w:val="20"/>
          <w:lang w:val="pt-BR" w:eastAsia="pt-BR" w:bidi="ar-SA"/>
        </w:rPr>
        <w:t>Comentários à margem do Partido Operário Alemão</w:t>
      </w:r>
      <w:proofErr w:type="gramEnd"/>
      <w:r w:rsidRPr="00F57D7A">
        <w:rPr>
          <w:rFonts w:ascii="Trebuchet MS" w:eastAsia="Times New Roman" w:hAnsi="Trebuchet MS"/>
          <w:color w:val="000000"/>
          <w:sz w:val="20"/>
          <w:szCs w:val="20"/>
          <w:lang w:val="pt-BR" w:eastAsia="pt-BR" w:bidi="ar-SA"/>
        </w:rPr>
        <w:t xml:space="preserve">. Porto Alegre: </w:t>
      </w:r>
      <w:proofErr w:type="spellStart"/>
      <w:r w:rsidRPr="00F57D7A">
        <w:rPr>
          <w:rFonts w:ascii="Trebuchet MS" w:eastAsia="Times New Roman" w:hAnsi="Trebuchet MS"/>
          <w:color w:val="000000"/>
          <w:sz w:val="20"/>
          <w:szCs w:val="20"/>
          <w:lang w:val="pt-BR" w:eastAsia="pt-BR" w:bidi="ar-SA"/>
        </w:rPr>
        <w:t>L&amp;PM</w:t>
      </w:r>
      <w:proofErr w:type="spellEnd"/>
      <w:r w:rsidRPr="00F57D7A">
        <w:rPr>
          <w:rFonts w:ascii="Trebuchet MS" w:eastAsia="Times New Roman" w:hAnsi="Trebuchet MS"/>
          <w:color w:val="000000"/>
          <w:sz w:val="20"/>
          <w:szCs w:val="20"/>
          <w:lang w:val="pt-BR" w:eastAsia="pt-BR" w:bidi="ar-SA"/>
        </w:rPr>
        <w:t xml:space="preserve">, 2001, p. 107. </w:t>
      </w:r>
      <w:r w:rsidRPr="00F57D7A">
        <w:rPr>
          <w:rFonts w:ascii="Trebuchet MS" w:eastAsia="Times New Roman" w:hAnsi="Trebuchet MS"/>
          <w:color w:val="000000"/>
          <w:sz w:val="20"/>
          <w:szCs w:val="20"/>
          <w:lang w:val="pt-BR" w:eastAsia="pt-BR" w:bidi="ar-SA"/>
        </w:rPr>
        <w:br/>
      </w:r>
      <w:r w:rsidRPr="00F57D7A">
        <w:rPr>
          <w:rFonts w:ascii="Trebuchet MS" w:eastAsia="Times New Roman" w:hAnsi="Trebuchet MS"/>
          <w:color w:val="000000"/>
          <w:sz w:val="20"/>
          <w:szCs w:val="20"/>
          <w:lang w:val="pt-BR" w:eastAsia="pt-BR" w:bidi="ar-SA"/>
        </w:rPr>
        <w:br/>
      </w:r>
      <w:proofErr w:type="gramStart"/>
      <w:r w:rsidRPr="00F57D7A">
        <w:rPr>
          <w:rFonts w:ascii="Trebuchet MS" w:eastAsia="Times New Roman" w:hAnsi="Trebuchet MS"/>
          <w:color w:val="000000"/>
          <w:sz w:val="20"/>
          <w:szCs w:val="20"/>
          <w:lang w:val="pt-BR" w:eastAsia="pt-BR" w:bidi="ar-SA"/>
        </w:rPr>
        <w:t>7</w:t>
      </w:r>
      <w:proofErr w:type="gramEnd"/>
      <w:r w:rsidRPr="00F57D7A">
        <w:rPr>
          <w:rFonts w:ascii="Trebuchet MS" w:eastAsia="Times New Roman" w:hAnsi="Trebuchet MS"/>
          <w:color w:val="000000"/>
          <w:sz w:val="20"/>
          <w:szCs w:val="20"/>
          <w:lang w:val="pt-BR" w:eastAsia="pt-BR" w:bidi="ar-SA"/>
        </w:rPr>
        <w:t xml:space="preserve"> A maior parte dos juristas e economistas, ao utilizar a expressão “análise econômica do Direito”, se refere, geralmente, à aplicação de métodos econômicos, especialmente de microeconomia, a questões legais. Nada obstante, há várias Escolas e ramos da Ciência em que o termo é abordado em diversos sentidos. Entre nós, cf. TIMM, Luciano Benetti. Qual a Maneira mais Eficiente de Prover Direitos Fundamentais: uma perspectiva de direito e economia? In: SARLET; TIMM. Op. cit., p. 53-56.</w:t>
      </w:r>
      <w:r w:rsidRPr="00F57D7A">
        <w:rPr>
          <w:rFonts w:ascii="Trebuchet MS" w:eastAsia="Times New Roman" w:hAnsi="Trebuchet MS"/>
          <w:color w:val="000000"/>
          <w:sz w:val="20"/>
          <w:szCs w:val="20"/>
          <w:lang w:val="pt-BR" w:eastAsia="pt-BR" w:bidi="ar-SA"/>
        </w:rPr>
        <w:br/>
      </w:r>
      <w:r w:rsidRPr="00F57D7A">
        <w:rPr>
          <w:rFonts w:ascii="Trebuchet MS" w:eastAsia="Times New Roman" w:hAnsi="Trebuchet MS"/>
          <w:color w:val="000000"/>
          <w:sz w:val="20"/>
          <w:szCs w:val="20"/>
          <w:lang w:val="pt-BR" w:eastAsia="pt-BR" w:bidi="ar-SA"/>
        </w:rPr>
        <w:br/>
        <w:t xml:space="preserve">8 LOPES, José Reinaldo de Lima. Direitos Sociais. Teoria e prática. São Paulo: Método, 2006. </w:t>
      </w:r>
      <w:proofErr w:type="gramStart"/>
      <w:r w:rsidRPr="00F57D7A">
        <w:rPr>
          <w:rFonts w:ascii="Trebuchet MS" w:eastAsia="Times New Roman" w:hAnsi="Trebuchet MS"/>
          <w:color w:val="000000"/>
          <w:sz w:val="20"/>
          <w:szCs w:val="20"/>
          <w:lang w:val="pt-BR" w:eastAsia="pt-BR" w:bidi="ar-SA"/>
        </w:rPr>
        <w:t>p.</w:t>
      </w:r>
      <w:proofErr w:type="gramEnd"/>
      <w:r w:rsidRPr="00F57D7A">
        <w:rPr>
          <w:rFonts w:ascii="Trebuchet MS" w:eastAsia="Times New Roman" w:hAnsi="Trebuchet MS"/>
          <w:color w:val="000000"/>
          <w:sz w:val="20"/>
          <w:szCs w:val="20"/>
          <w:lang w:val="pt-BR" w:eastAsia="pt-BR" w:bidi="ar-SA"/>
        </w:rPr>
        <w:t xml:space="preserve"> 271-272. </w:t>
      </w:r>
    </w:p>
    <w:p w:rsidR="00B365E6" w:rsidRPr="0058128F" w:rsidRDefault="00B365E6" w:rsidP="00AA017E">
      <w:pPr>
        <w:pStyle w:val="SemEspaamento"/>
        <w:rPr>
          <w:rFonts w:ascii="Times New Roman" w:hAnsi="Times New Roman"/>
          <w:lang w:val="pt-BR"/>
        </w:rPr>
      </w:pPr>
    </w:p>
    <w:p w:rsidR="009C5914" w:rsidRPr="0058128F" w:rsidRDefault="009C5914" w:rsidP="00AA017E">
      <w:pPr>
        <w:pStyle w:val="SemEspaamento"/>
        <w:rPr>
          <w:rFonts w:ascii="Times New Roman" w:hAnsi="Times New Roman"/>
          <w:lang w:val="pt-BR"/>
        </w:rPr>
      </w:pPr>
    </w:p>
    <w:p w:rsidR="009C5914" w:rsidRPr="0058128F" w:rsidRDefault="009C5914" w:rsidP="00AA017E">
      <w:pPr>
        <w:pStyle w:val="SemEspaamento"/>
        <w:rPr>
          <w:rFonts w:ascii="Times New Roman" w:hAnsi="Times New Roman"/>
          <w:lang w:val="pt-BR"/>
        </w:rPr>
      </w:pPr>
    </w:p>
    <w:p w:rsidR="009C5914" w:rsidRPr="0058128F" w:rsidRDefault="009C5914" w:rsidP="00AA017E">
      <w:pPr>
        <w:pStyle w:val="SemEspaamento"/>
        <w:rPr>
          <w:rFonts w:ascii="Times New Roman" w:hAnsi="Times New Roman"/>
          <w:lang w:val="pt-BR"/>
        </w:rPr>
      </w:pPr>
    </w:p>
    <w:p w:rsidR="009C5914" w:rsidRPr="0058128F" w:rsidRDefault="009C5914" w:rsidP="00AA017E">
      <w:pPr>
        <w:pStyle w:val="SemEspaamento"/>
        <w:rPr>
          <w:rFonts w:ascii="Times New Roman" w:hAnsi="Times New Roman"/>
          <w:lang w:val="pt-BR"/>
        </w:rPr>
      </w:pPr>
    </w:p>
    <w:p w:rsidR="009C5914" w:rsidRPr="0058128F" w:rsidRDefault="009C5914" w:rsidP="00AA017E">
      <w:pPr>
        <w:pStyle w:val="SemEspaamento"/>
        <w:rPr>
          <w:rFonts w:ascii="Times New Roman" w:hAnsi="Times New Roman"/>
          <w:lang w:val="pt-BR"/>
        </w:rPr>
      </w:pPr>
    </w:p>
    <w:p w:rsidR="009C5914" w:rsidRPr="0058128F" w:rsidRDefault="009C5914" w:rsidP="00AA017E">
      <w:pPr>
        <w:pStyle w:val="SemEspaamento"/>
        <w:rPr>
          <w:rFonts w:ascii="Times New Roman" w:hAnsi="Times New Roman"/>
          <w:lang w:val="pt-BR"/>
        </w:rPr>
      </w:pPr>
    </w:p>
    <w:p w:rsidR="009C5914" w:rsidRPr="0058128F" w:rsidRDefault="009C5914" w:rsidP="00AA017E">
      <w:pPr>
        <w:pStyle w:val="SemEspaamento"/>
        <w:rPr>
          <w:rFonts w:ascii="Times New Roman" w:hAnsi="Times New Roman"/>
          <w:lang w:val="pt-BR"/>
        </w:rPr>
      </w:pPr>
    </w:p>
    <w:p w:rsidR="009C5914" w:rsidRPr="0058128F" w:rsidRDefault="009C5914" w:rsidP="00AA017E">
      <w:pPr>
        <w:pStyle w:val="SemEspaamento"/>
        <w:rPr>
          <w:rFonts w:ascii="Times New Roman" w:hAnsi="Times New Roman"/>
          <w:lang w:val="pt-BR"/>
        </w:rPr>
      </w:pPr>
    </w:p>
    <w:p w:rsidR="009C5914" w:rsidRPr="0058128F" w:rsidRDefault="009C5914" w:rsidP="00AA017E">
      <w:pPr>
        <w:pStyle w:val="SemEspaamento"/>
        <w:rPr>
          <w:rFonts w:ascii="Times New Roman" w:hAnsi="Times New Roman"/>
          <w:lang w:val="pt-BR"/>
        </w:rPr>
      </w:pPr>
    </w:p>
    <w:p w:rsidR="009C5914" w:rsidRPr="0058128F" w:rsidRDefault="009C5914" w:rsidP="00AA017E">
      <w:pPr>
        <w:pStyle w:val="SemEspaamento"/>
        <w:rPr>
          <w:rFonts w:ascii="Times New Roman" w:hAnsi="Times New Roman"/>
          <w:lang w:val="pt-BR"/>
        </w:rPr>
      </w:pPr>
    </w:p>
    <w:p w:rsidR="009C5914" w:rsidRPr="0058128F" w:rsidRDefault="009C5914" w:rsidP="00AA017E">
      <w:pPr>
        <w:pStyle w:val="SemEspaamento"/>
        <w:rPr>
          <w:rFonts w:ascii="Times New Roman" w:hAnsi="Times New Roman"/>
          <w:lang w:val="pt-BR"/>
        </w:rPr>
      </w:pPr>
    </w:p>
    <w:p w:rsidR="009C5914" w:rsidRPr="0058128F" w:rsidRDefault="009C5914" w:rsidP="00AA017E">
      <w:pPr>
        <w:pStyle w:val="SemEspaamento"/>
        <w:rPr>
          <w:rFonts w:ascii="Times New Roman" w:hAnsi="Times New Roman"/>
          <w:lang w:val="pt-BR"/>
        </w:rPr>
      </w:pPr>
    </w:p>
    <w:p w:rsidR="009C5914" w:rsidRPr="0058128F" w:rsidRDefault="009C5914" w:rsidP="00AA017E">
      <w:pPr>
        <w:pStyle w:val="SemEspaamento"/>
        <w:rPr>
          <w:rFonts w:ascii="Times New Roman" w:hAnsi="Times New Roman"/>
          <w:lang w:val="pt-BR"/>
        </w:rPr>
      </w:pPr>
    </w:p>
    <w:p w:rsidR="009C5914" w:rsidRPr="0058128F" w:rsidRDefault="009C5914" w:rsidP="00AA017E">
      <w:pPr>
        <w:pStyle w:val="SemEspaamento"/>
        <w:rPr>
          <w:rFonts w:ascii="Times New Roman" w:hAnsi="Times New Roman"/>
          <w:lang w:val="pt-BR"/>
        </w:rPr>
      </w:pPr>
    </w:p>
    <w:p w:rsidR="009C5914" w:rsidRPr="0058128F" w:rsidRDefault="009C5914" w:rsidP="00AA017E">
      <w:pPr>
        <w:pStyle w:val="SemEspaamento"/>
        <w:rPr>
          <w:rFonts w:ascii="Times New Roman" w:hAnsi="Times New Roman"/>
          <w:lang w:val="pt-BR"/>
        </w:rPr>
      </w:pPr>
    </w:p>
    <w:p w:rsidR="009C5914" w:rsidRPr="0058128F" w:rsidRDefault="009C5914" w:rsidP="00AA017E">
      <w:pPr>
        <w:pStyle w:val="SemEspaamento"/>
        <w:rPr>
          <w:rFonts w:ascii="Times New Roman" w:hAnsi="Times New Roman"/>
          <w:lang w:val="pt-BR"/>
        </w:rPr>
      </w:pPr>
    </w:p>
    <w:p w:rsidR="009C5914" w:rsidRPr="0058128F" w:rsidRDefault="009C5914" w:rsidP="00AA017E">
      <w:pPr>
        <w:pStyle w:val="SemEspaamento"/>
        <w:rPr>
          <w:rFonts w:ascii="Times New Roman" w:hAnsi="Times New Roman"/>
          <w:lang w:val="pt-BR"/>
        </w:rPr>
      </w:pPr>
    </w:p>
    <w:p w:rsidR="009C5914" w:rsidRPr="0058128F" w:rsidRDefault="009C5914" w:rsidP="00AA017E">
      <w:pPr>
        <w:pStyle w:val="SemEspaamento"/>
        <w:rPr>
          <w:rFonts w:ascii="Times New Roman" w:hAnsi="Times New Roman"/>
          <w:lang w:val="pt-BR"/>
        </w:rPr>
      </w:pPr>
    </w:p>
    <w:p w:rsidR="009C5914" w:rsidRPr="0058128F" w:rsidRDefault="009C5914" w:rsidP="00AA017E">
      <w:pPr>
        <w:pStyle w:val="SemEspaamento"/>
        <w:rPr>
          <w:rFonts w:ascii="Times New Roman" w:hAnsi="Times New Roman"/>
          <w:lang w:val="pt-BR"/>
        </w:rPr>
      </w:pPr>
    </w:p>
    <w:p w:rsidR="009C5914" w:rsidRPr="0058128F" w:rsidRDefault="009C5914" w:rsidP="00AA017E">
      <w:pPr>
        <w:pStyle w:val="SemEspaamento"/>
        <w:rPr>
          <w:rFonts w:ascii="Times New Roman" w:hAnsi="Times New Roman"/>
          <w:lang w:val="pt-BR"/>
        </w:rPr>
      </w:pPr>
    </w:p>
    <w:p w:rsidR="009C5914" w:rsidRPr="0058128F" w:rsidRDefault="009C5914" w:rsidP="00AA017E">
      <w:pPr>
        <w:pStyle w:val="SemEspaamento"/>
        <w:rPr>
          <w:rFonts w:ascii="Times New Roman" w:hAnsi="Times New Roman"/>
          <w:lang w:val="pt-BR"/>
        </w:rPr>
      </w:pPr>
    </w:p>
    <w:p w:rsidR="009C5914" w:rsidRPr="0058128F" w:rsidRDefault="009C5914" w:rsidP="00AA017E">
      <w:pPr>
        <w:pStyle w:val="SemEspaamento"/>
        <w:rPr>
          <w:rFonts w:ascii="Times New Roman" w:hAnsi="Times New Roman"/>
          <w:lang w:val="pt-BR"/>
        </w:rPr>
      </w:pPr>
    </w:p>
    <w:p w:rsidR="009C5914" w:rsidRPr="0058128F" w:rsidRDefault="009C5914" w:rsidP="00AA017E">
      <w:pPr>
        <w:pStyle w:val="SemEspaamento"/>
        <w:rPr>
          <w:rFonts w:ascii="Times New Roman" w:hAnsi="Times New Roman"/>
          <w:lang w:val="pt-BR"/>
        </w:rPr>
      </w:pPr>
    </w:p>
    <w:p w:rsidR="009C5914" w:rsidRPr="0058128F" w:rsidRDefault="009C5914" w:rsidP="00AA017E">
      <w:pPr>
        <w:pStyle w:val="SemEspaamento"/>
        <w:rPr>
          <w:rFonts w:ascii="Times New Roman" w:hAnsi="Times New Roman"/>
          <w:lang w:val="pt-BR"/>
        </w:rPr>
      </w:pPr>
    </w:p>
    <w:p w:rsidR="009C5914" w:rsidRPr="0058128F" w:rsidRDefault="009C5914" w:rsidP="00AA017E">
      <w:pPr>
        <w:pStyle w:val="SemEspaamento"/>
        <w:rPr>
          <w:rFonts w:ascii="Times New Roman" w:hAnsi="Times New Roman"/>
          <w:lang w:val="pt-BR"/>
        </w:rPr>
      </w:pPr>
    </w:p>
    <w:p w:rsidR="009C5914" w:rsidRPr="0058128F" w:rsidRDefault="009C5914" w:rsidP="00AA017E">
      <w:pPr>
        <w:pStyle w:val="SemEspaamento"/>
        <w:rPr>
          <w:rFonts w:ascii="Times New Roman" w:hAnsi="Times New Roman"/>
          <w:lang w:val="pt-BR"/>
        </w:rPr>
      </w:pPr>
    </w:p>
    <w:p w:rsidR="009C5914" w:rsidRPr="0058128F" w:rsidRDefault="009C5914" w:rsidP="00AA017E">
      <w:pPr>
        <w:pStyle w:val="SemEspaamento"/>
        <w:rPr>
          <w:rFonts w:ascii="Times New Roman" w:hAnsi="Times New Roman"/>
          <w:lang w:val="pt-BR"/>
        </w:rPr>
      </w:pPr>
    </w:p>
    <w:sectPr w:rsidR="009C5914" w:rsidRPr="0058128F" w:rsidSect="00B365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57D7A"/>
    <w:rsid w:val="001A6681"/>
    <w:rsid w:val="0058128F"/>
    <w:rsid w:val="008A4CD1"/>
    <w:rsid w:val="009C5914"/>
    <w:rsid w:val="00AA017E"/>
    <w:rsid w:val="00B365E6"/>
    <w:rsid w:val="00BA58F4"/>
    <w:rsid w:val="00E00E5A"/>
    <w:rsid w:val="00E24602"/>
    <w:rsid w:val="00F57D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017E"/>
    <w:pPr>
      <w:spacing w:after="0" w:line="240" w:lineRule="auto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AA017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A017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A017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A017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A0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A017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A017E"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A017E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A017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basedOn w:val="Normal"/>
    <w:uiPriority w:val="1"/>
    <w:qFormat/>
    <w:rsid w:val="00AA017E"/>
    <w:rPr>
      <w:szCs w:val="32"/>
    </w:rPr>
  </w:style>
  <w:style w:type="character" w:customStyle="1" w:styleId="Ttulo1Char">
    <w:name w:val="Título 1 Char"/>
    <w:basedOn w:val="Fontepargpadro"/>
    <w:link w:val="Ttulo1"/>
    <w:uiPriority w:val="9"/>
    <w:rsid w:val="00AA017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A017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A017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AA017E"/>
    <w:rPr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A017E"/>
    <w:rPr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A017E"/>
    <w:rPr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AA017E"/>
    <w:rPr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A017E"/>
    <w:rPr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A017E"/>
    <w:rPr>
      <w:rFonts w:asciiTheme="majorHAnsi" w:eastAsiaTheme="majorEastAsia" w:hAnsiTheme="majorHAnsi"/>
    </w:rPr>
  </w:style>
  <w:style w:type="paragraph" w:styleId="Ttulo">
    <w:name w:val="Title"/>
    <w:basedOn w:val="Normal"/>
    <w:next w:val="Normal"/>
    <w:link w:val="TtuloChar"/>
    <w:uiPriority w:val="10"/>
    <w:qFormat/>
    <w:rsid w:val="00AA017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AA017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har"/>
    <w:uiPriority w:val="11"/>
    <w:qFormat/>
    <w:rsid w:val="00AA017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tuloChar">
    <w:name w:val="Subtítulo Char"/>
    <w:basedOn w:val="Fontepargpadro"/>
    <w:link w:val="Subttulo"/>
    <w:uiPriority w:val="11"/>
    <w:rsid w:val="00AA017E"/>
    <w:rPr>
      <w:rFonts w:asciiTheme="majorHAnsi" w:eastAsiaTheme="majorEastAsia" w:hAnsiTheme="majorHAnsi"/>
      <w:sz w:val="24"/>
      <w:szCs w:val="24"/>
    </w:rPr>
  </w:style>
  <w:style w:type="character" w:styleId="Forte">
    <w:name w:val="Strong"/>
    <w:basedOn w:val="Fontepargpadro"/>
    <w:uiPriority w:val="22"/>
    <w:qFormat/>
    <w:rsid w:val="00AA017E"/>
    <w:rPr>
      <w:b/>
      <w:bCs/>
    </w:rPr>
  </w:style>
  <w:style w:type="character" w:styleId="nfase">
    <w:name w:val="Emphasis"/>
    <w:basedOn w:val="Fontepargpadro"/>
    <w:uiPriority w:val="20"/>
    <w:qFormat/>
    <w:rsid w:val="00AA017E"/>
    <w:rPr>
      <w:rFonts w:asciiTheme="minorHAnsi" w:hAnsiTheme="minorHAnsi"/>
      <w:b/>
      <w:i/>
      <w:iCs/>
    </w:rPr>
  </w:style>
  <w:style w:type="paragraph" w:styleId="PargrafodaLista">
    <w:name w:val="List Paragraph"/>
    <w:basedOn w:val="Normal"/>
    <w:uiPriority w:val="34"/>
    <w:qFormat/>
    <w:rsid w:val="00AA017E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AA017E"/>
    <w:rPr>
      <w:i/>
    </w:rPr>
  </w:style>
  <w:style w:type="character" w:customStyle="1" w:styleId="CitaoChar">
    <w:name w:val="Citação Char"/>
    <w:basedOn w:val="Fontepargpadro"/>
    <w:link w:val="Citao"/>
    <w:uiPriority w:val="29"/>
    <w:rsid w:val="00AA017E"/>
    <w:rPr>
      <w:i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A017E"/>
    <w:pPr>
      <w:ind w:left="720" w:right="720"/>
    </w:pPr>
    <w:rPr>
      <w:b/>
      <w:i/>
      <w:szCs w:val="2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A017E"/>
    <w:rPr>
      <w:b/>
      <w:i/>
      <w:sz w:val="24"/>
    </w:rPr>
  </w:style>
  <w:style w:type="character" w:styleId="nfaseSutil">
    <w:name w:val="Subtle Emphasis"/>
    <w:uiPriority w:val="19"/>
    <w:qFormat/>
    <w:rsid w:val="00AA017E"/>
    <w:rPr>
      <w:i/>
      <w:color w:val="5A5A5A" w:themeColor="text1" w:themeTint="A5"/>
    </w:rPr>
  </w:style>
  <w:style w:type="character" w:styleId="nfaseIntensa">
    <w:name w:val="Intense Emphasis"/>
    <w:basedOn w:val="Fontepargpadro"/>
    <w:uiPriority w:val="21"/>
    <w:qFormat/>
    <w:rsid w:val="00AA017E"/>
    <w:rPr>
      <w:b/>
      <w:i/>
      <w:sz w:val="24"/>
      <w:szCs w:val="24"/>
      <w:u w:val="single"/>
    </w:rPr>
  </w:style>
  <w:style w:type="character" w:styleId="RefernciaSutil">
    <w:name w:val="Subtle Reference"/>
    <w:basedOn w:val="Fontepargpadro"/>
    <w:uiPriority w:val="31"/>
    <w:qFormat/>
    <w:rsid w:val="00AA017E"/>
    <w:rPr>
      <w:sz w:val="24"/>
      <w:szCs w:val="24"/>
      <w:u w:val="single"/>
    </w:rPr>
  </w:style>
  <w:style w:type="character" w:styleId="RefernciaIntensa">
    <w:name w:val="Intense Reference"/>
    <w:basedOn w:val="Fontepargpadro"/>
    <w:uiPriority w:val="32"/>
    <w:qFormat/>
    <w:rsid w:val="00AA017E"/>
    <w:rPr>
      <w:b/>
      <w:sz w:val="24"/>
      <w:u w:val="single"/>
    </w:rPr>
  </w:style>
  <w:style w:type="character" w:styleId="TtulodoLivro">
    <w:name w:val="Book Title"/>
    <w:basedOn w:val="Fontepargpadro"/>
    <w:uiPriority w:val="33"/>
    <w:qFormat/>
    <w:rsid w:val="00AA017E"/>
    <w:rPr>
      <w:rFonts w:asciiTheme="majorHAnsi" w:eastAsiaTheme="majorEastAsia" w:hAnsiTheme="majorHAnsi"/>
      <w:b/>
      <w:i/>
      <w:sz w:val="24"/>
      <w:szCs w:val="24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AA017E"/>
    <w:pPr>
      <w:outlineLvl w:val="9"/>
    </w:pPr>
  </w:style>
  <w:style w:type="character" w:styleId="Hyperlink">
    <w:name w:val="Hyperlink"/>
    <w:basedOn w:val="Fontepargpadro"/>
    <w:uiPriority w:val="99"/>
    <w:semiHidden/>
    <w:unhideWhenUsed/>
    <w:rsid w:val="00F57D7A"/>
    <w:rPr>
      <w:rFonts w:ascii="Trebuchet MS" w:hAnsi="Trebuchet MS" w:hint="default"/>
      <w:color w:val="777777"/>
      <w:sz w:val="20"/>
      <w:szCs w:val="20"/>
      <w:u w:val="single"/>
    </w:rPr>
  </w:style>
  <w:style w:type="paragraph" w:styleId="NormalWeb">
    <w:name w:val="Normal (Web)"/>
    <w:basedOn w:val="Normal"/>
    <w:uiPriority w:val="99"/>
    <w:semiHidden/>
    <w:unhideWhenUsed/>
    <w:rsid w:val="00F57D7A"/>
    <w:pPr>
      <w:spacing w:before="100" w:beforeAutospacing="1" w:after="100" w:afterAutospacing="1"/>
    </w:pPr>
    <w:rPr>
      <w:rFonts w:ascii="Times New Roman" w:eastAsia="Times New Roman" w:hAnsi="Times New Roman"/>
      <w:lang w:val="pt-BR" w:eastAsia="pt-BR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3479793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6897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707044">
              <w:marLeft w:val="0"/>
              <w:marRight w:val="0"/>
              <w:marTop w:val="120"/>
              <w:marBottom w:val="0"/>
              <w:divBdr>
                <w:top w:val="single" w:sz="12" w:space="0" w:color="CCCCCC"/>
                <w:left w:val="single" w:sz="12" w:space="0" w:color="CCCCCC"/>
                <w:bottom w:val="single" w:sz="12" w:space="0" w:color="CCCCCC"/>
                <w:right w:val="single" w:sz="12" w:space="0" w:color="CCCCCC"/>
              </w:divBdr>
              <w:divsChild>
                <w:div w:id="63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479020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21936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95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875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410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274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0484270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3147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07606">
              <w:marLeft w:val="0"/>
              <w:marRight w:val="0"/>
              <w:marTop w:val="120"/>
              <w:marBottom w:val="0"/>
              <w:divBdr>
                <w:top w:val="single" w:sz="12" w:space="0" w:color="CCCCCC"/>
                <w:left w:val="single" w:sz="12" w:space="0" w:color="CCCCCC"/>
                <w:bottom w:val="single" w:sz="12" w:space="0" w:color="CCCCCC"/>
                <w:right w:val="single" w:sz="12" w:space="0" w:color="CCCCCC"/>
              </w:divBdr>
              <w:divsChild>
                <w:div w:id="157931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892927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38950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493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247843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234933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79328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792681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673422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12245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26446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592521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974622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074022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876921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4626410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49952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382453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52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098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775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7174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419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ex.com.br/co/default.asp?op=cor&amp;id=1688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javascript:window.history.back()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mudaTamanho('artigo',%20+1);" TargetMode="External"/><Relationship Id="rId5" Type="http://schemas.openxmlformats.org/officeDocument/2006/relationships/hyperlink" Target="javascript:mudaTamanho('artigo',%20-1);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1390</Words>
  <Characters>7507</Characters>
  <Application>Microsoft Office Word</Application>
  <DocSecurity>0</DocSecurity>
  <Lines>62</Lines>
  <Paragraphs>17</Paragraphs>
  <ScaleCrop>false</ScaleCrop>
  <Company>Hewlett-Packard Company</Company>
  <LinksUpToDate>false</LinksUpToDate>
  <CharactersWithSpaces>8880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lourdes.castelo</dc:creator>
  <cp:lastModifiedBy>lourdes.castelo</cp:lastModifiedBy>
  <cp:revision>3</cp:revision>
  <dcterms:created xsi:type="dcterms:W3CDTF">2014-11-04T13:22:00Z</dcterms:created>
  <dcterms:modified xsi:type="dcterms:W3CDTF">2014-11-04T14:16:00Z</dcterms:modified>
</cp:coreProperties>
</file>