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E3" w:rsidRPr="00DD2FE3" w:rsidRDefault="00DD2FE3" w:rsidP="00DD2FE3">
      <w:pPr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  <w:r w:rsidRPr="00DD2FE3">
        <w:rPr>
          <w:rFonts w:ascii="Calibri" w:eastAsia="Times New Roman" w:hAnsi="Calibri"/>
          <w:b/>
          <w:color w:val="000000"/>
          <w:sz w:val="36"/>
          <w:szCs w:val="36"/>
        </w:rPr>
        <w:t>PESQUISA – DR. FRANCISCO BARROS</w:t>
      </w:r>
    </w:p>
    <w:p w:rsidR="00DD2FE3" w:rsidRDefault="00DD2FE3" w:rsidP="00DD2FE3">
      <w:pPr>
        <w:rPr>
          <w:rFonts w:ascii="Calibri" w:eastAsia="Times New Roman" w:hAnsi="Calibri"/>
          <w:color w:val="000000"/>
        </w:rPr>
      </w:pPr>
    </w:p>
    <w:p w:rsidR="00DD2FE3" w:rsidRDefault="00DD2FE3" w:rsidP="00DD2FE3">
      <w:pPr>
        <w:rPr>
          <w:rFonts w:ascii="Verdana" w:eastAsia="Times New Roman" w:hAnsi="Verdana"/>
          <w:b/>
          <w:bCs/>
          <w:color w:val="62797B"/>
          <w:sz w:val="17"/>
          <w:szCs w:val="17"/>
        </w:rPr>
      </w:pPr>
    </w:p>
    <w:p w:rsidR="00375EB9" w:rsidRDefault="00375EB9"/>
    <w:p w:rsidR="00DD2FE3" w:rsidRDefault="00DD2FE3"/>
    <w:p w:rsidR="00DD2FE3" w:rsidRDefault="00DD2FE3"/>
    <w:p w:rsidR="00DD2FE3" w:rsidRDefault="00DD2FE3"/>
    <w:p w:rsidR="00DD2FE3" w:rsidRPr="00797211" w:rsidRDefault="00DD2FE3" w:rsidP="00797211">
      <w:pPr>
        <w:rPr>
          <w:highlight w:val="cyan"/>
        </w:rPr>
      </w:pPr>
      <w:r w:rsidRPr="00797211">
        <w:rPr>
          <w:b/>
          <w:highlight w:val="cyan"/>
        </w:rPr>
        <w:t>Revista Jurídica</w:t>
      </w:r>
      <w:r w:rsidRPr="00797211">
        <w:rPr>
          <w:highlight w:val="cyan"/>
        </w:rPr>
        <w:t xml:space="preserve">     n. 462 abr./ 2016 </w:t>
      </w:r>
    </w:p>
    <w:p w:rsidR="007C4F3A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Considerações sobre a citação por meio eletrônico no novo Código de processo civil brasileiro p. 85-101 </w:t>
      </w:r>
    </w:p>
    <w:p w:rsidR="00DD2FE3" w:rsidRPr="00797211" w:rsidRDefault="007C4F3A" w:rsidP="00797211">
      <w:pPr>
        <w:rPr>
          <w:highlight w:val="cyan"/>
        </w:rPr>
      </w:pPr>
      <w:r w:rsidRPr="00797211">
        <w:rPr>
          <w:highlight w:val="cyan"/>
        </w:rPr>
        <w:t>Erick da Silva Regis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Revista Jurídica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465 </w:t>
      </w:r>
      <w:proofErr w:type="gramStart"/>
      <w:r w:rsidRPr="00797211">
        <w:rPr>
          <w:highlight w:val="cyan"/>
        </w:rPr>
        <w:t>jul./</w:t>
      </w:r>
      <w:proofErr w:type="gramEnd"/>
      <w:r w:rsidRPr="00797211">
        <w:rPr>
          <w:highlight w:val="cyan"/>
        </w:rPr>
        <w:t xml:space="preserve"> 2016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Litigância de má-fé no Novo Código de Processo Civil</w:t>
      </w:r>
      <w:r w:rsidRPr="00797211">
        <w:rPr>
          <w:highlight w:val="cyan"/>
        </w:rPr>
        <w:tab/>
        <w:t xml:space="preserve">p. 9-34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7C4F3A" w:rsidRPr="00797211">
        <w:rPr>
          <w:highlight w:val="cyan"/>
        </w:rPr>
        <w:t>Carlos Henrique Soares</w:t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Revista Jurídica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467 </w:t>
      </w:r>
      <w:proofErr w:type="gramStart"/>
      <w:r w:rsidRPr="00797211">
        <w:rPr>
          <w:highlight w:val="cyan"/>
        </w:rPr>
        <w:t>set./</w:t>
      </w:r>
      <w:proofErr w:type="gramEnd"/>
      <w:r w:rsidRPr="00797211">
        <w:rPr>
          <w:highlight w:val="cyan"/>
        </w:rPr>
        <w:t xml:space="preserve"> 2016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O "prazo dobrado" no Novo CPC (interpretação do artigo 229 do NCPC)</w:t>
      </w:r>
      <w:r w:rsidRPr="00797211">
        <w:rPr>
          <w:highlight w:val="cyan"/>
        </w:rPr>
        <w:tab/>
        <w:t xml:space="preserve">p. 9-13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7C4F3A" w:rsidRPr="00797211">
        <w:rPr>
          <w:highlight w:val="cyan"/>
        </w:rPr>
        <w:t xml:space="preserve">Daniel </w:t>
      </w:r>
      <w:proofErr w:type="spellStart"/>
      <w:r w:rsidR="007C4F3A" w:rsidRPr="00797211">
        <w:rPr>
          <w:highlight w:val="cyan"/>
        </w:rPr>
        <w:t>Ustárroz</w:t>
      </w:r>
      <w:proofErr w:type="spellEnd"/>
      <w:r w:rsidR="007C4F3A" w:rsidRPr="00797211">
        <w:rPr>
          <w:highlight w:val="cyan"/>
        </w:rPr>
        <w:t xml:space="preserve"> </w:t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b/>
          <w:highlight w:val="cyan"/>
        </w:rPr>
        <w:t xml:space="preserve">Revista </w:t>
      </w:r>
      <w:proofErr w:type="spellStart"/>
      <w:r w:rsidRPr="00797211">
        <w:rPr>
          <w:b/>
          <w:highlight w:val="cyan"/>
        </w:rPr>
        <w:t>Bonijuris</w:t>
      </w:r>
      <w:proofErr w:type="spellEnd"/>
      <w:r w:rsidRPr="00797211">
        <w:rPr>
          <w:highlight w:val="cyan"/>
        </w:rPr>
        <w:t xml:space="preserve">     n. </w:t>
      </w:r>
      <w:proofErr w:type="gramStart"/>
      <w:r w:rsidRPr="00797211">
        <w:rPr>
          <w:highlight w:val="cyan"/>
        </w:rPr>
        <w:t>630 maio</w:t>
      </w:r>
      <w:proofErr w:type="gramEnd"/>
      <w:r w:rsidRPr="00797211">
        <w:rPr>
          <w:highlight w:val="cyan"/>
        </w:rPr>
        <w:t>/ 2016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As armadilhas dos prazos no novo CPC</w:t>
      </w:r>
      <w:r w:rsidRPr="00797211">
        <w:rPr>
          <w:highlight w:val="cyan"/>
        </w:rPr>
        <w:tab/>
        <w:t xml:space="preserve">p. 22-25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proofErr w:type="spellStart"/>
      <w:r w:rsidR="007C4F3A" w:rsidRPr="00797211">
        <w:rPr>
          <w:highlight w:val="cyan"/>
        </w:rPr>
        <w:t>Andre</w:t>
      </w:r>
      <w:proofErr w:type="spellEnd"/>
      <w:r w:rsidR="007C4F3A" w:rsidRPr="00797211">
        <w:rPr>
          <w:highlight w:val="cyan"/>
        </w:rPr>
        <w:t xml:space="preserve"> Vasconcelos Roque </w:t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</w:t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 xml:space="preserve">Juris </w:t>
      </w:r>
      <w:proofErr w:type="spellStart"/>
      <w:r w:rsidRPr="00797211">
        <w:rPr>
          <w:b/>
          <w:highlight w:val="cyan"/>
        </w:rPr>
        <w:t>Plenum</w:t>
      </w:r>
      <w:proofErr w:type="spellEnd"/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68 </w:t>
      </w:r>
      <w:proofErr w:type="gramStart"/>
      <w:r w:rsidRPr="00797211">
        <w:rPr>
          <w:highlight w:val="cyan"/>
        </w:rPr>
        <w:t>mar./</w:t>
      </w:r>
      <w:proofErr w:type="gramEnd"/>
      <w:r w:rsidRPr="00797211">
        <w:rPr>
          <w:highlight w:val="cyan"/>
        </w:rPr>
        <w:t xml:space="preserve"> 2016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As verbas de sucumbência e a gratuidade da justiça no novo CPC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7C4F3A" w:rsidRPr="00797211">
        <w:rPr>
          <w:highlight w:val="cyan"/>
        </w:rPr>
        <w:t xml:space="preserve">Clovis Brasil Pereira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</w:t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Revista Brasileira de Direito Processual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96 out/dez 2016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A Fazenda Pública e o Novo Código de Processo Civil</w:t>
      </w:r>
      <w:r w:rsidRPr="00797211">
        <w:rPr>
          <w:highlight w:val="cyan"/>
        </w:rPr>
        <w:tab/>
        <w:t xml:space="preserve">p. 79-104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5C3BCB" w:rsidRPr="00797211">
        <w:rPr>
          <w:highlight w:val="cyan"/>
        </w:rPr>
        <w:t xml:space="preserve">Edilson Pereira Nobre Júnior </w:t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Revista Brasileira de Direito Processual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95 </w:t>
      </w:r>
      <w:proofErr w:type="gramStart"/>
      <w:r w:rsidRPr="00797211">
        <w:rPr>
          <w:highlight w:val="cyan"/>
        </w:rPr>
        <w:t>jul./</w:t>
      </w:r>
      <w:proofErr w:type="gramEnd"/>
      <w:r w:rsidRPr="00797211">
        <w:rPr>
          <w:highlight w:val="cyan"/>
        </w:rPr>
        <w:t>set. 2016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Sobre a instrumentalidade da desconsideração da personalidade jurídica no Novo Código de Processo Civil</w:t>
      </w:r>
      <w:r w:rsidRPr="00797211">
        <w:rPr>
          <w:highlight w:val="cyan"/>
        </w:rPr>
        <w:tab/>
        <w:t xml:space="preserve">p. 13-30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5C3BCB" w:rsidRPr="00797211">
        <w:rPr>
          <w:highlight w:val="cyan"/>
        </w:rPr>
        <w:t xml:space="preserve">Andreza Cristina </w:t>
      </w:r>
      <w:proofErr w:type="gramStart"/>
      <w:r w:rsidR="005C3BCB" w:rsidRPr="00797211">
        <w:rPr>
          <w:highlight w:val="cyan"/>
        </w:rPr>
        <w:t>Baggio ;</w:t>
      </w:r>
      <w:proofErr w:type="gramEnd"/>
      <w:r w:rsidR="005C3BCB" w:rsidRPr="00797211">
        <w:rPr>
          <w:highlight w:val="cyan"/>
        </w:rPr>
        <w:t xml:space="preserve"> Willian </w:t>
      </w:r>
      <w:proofErr w:type="spellStart"/>
      <w:r w:rsidR="005C3BCB" w:rsidRPr="00797211">
        <w:rPr>
          <w:highlight w:val="cyan"/>
        </w:rPr>
        <w:t>Padoan</w:t>
      </w:r>
      <w:proofErr w:type="spellEnd"/>
      <w:r w:rsidR="005C3BCB" w:rsidRPr="00797211">
        <w:rPr>
          <w:highlight w:val="cyan"/>
        </w:rPr>
        <w:t xml:space="preserve"> </w:t>
      </w:r>
      <w:proofErr w:type="spellStart"/>
      <w:r w:rsidR="005C3BCB" w:rsidRPr="00797211">
        <w:rPr>
          <w:highlight w:val="cyan"/>
        </w:rPr>
        <w:t>Lenhardt</w:t>
      </w:r>
      <w:proofErr w:type="spellEnd"/>
      <w:r w:rsidR="005C3BCB" w:rsidRPr="00797211">
        <w:rPr>
          <w:highlight w:val="cyan"/>
        </w:rPr>
        <w:t xml:space="preserve"> </w:t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</w:t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Revista dos Tribunais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</w:t>
      </w:r>
      <w:proofErr w:type="gramStart"/>
      <w:r w:rsidRPr="00797211">
        <w:rPr>
          <w:highlight w:val="cyan"/>
        </w:rPr>
        <w:t>967 maio</w:t>
      </w:r>
      <w:proofErr w:type="gramEnd"/>
      <w:r w:rsidRPr="00797211">
        <w:rPr>
          <w:highlight w:val="cyan"/>
        </w:rPr>
        <w:t>/ 2016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A desconsideração da personalidade jurídica no novo Código de Processo Civil</w:t>
      </w:r>
      <w:r w:rsidRPr="00797211">
        <w:rPr>
          <w:highlight w:val="cyan"/>
        </w:rPr>
        <w:tab/>
        <w:t xml:space="preserve">p. 251-303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proofErr w:type="spellStart"/>
      <w:r w:rsidR="005C3BCB" w:rsidRPr="00797211">
        <w:rPr>
          <w:highlight w:val="cyan"/>
        </w:rPr>
        <w:t>Aldem</w:t>
      </w:r>
      <w:proofErr w:type="spellEnd"/>
      <w:r w:rsidR="005C3BCB" w:rsidRPr="00797211">
        <w:rPr>
          <w:highlight w:val="cyan"/>
        </w:rPr>
        <w:t xml:space="preserve"> Johnston Barbosa Araújo </w:t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lastRenderedPageBreak/>
        <w:t xml:space="preserve">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Revista de Processo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265 </w:t>
      </w:r>
      <w:proofErr w:type="gramStart"/>
      <w:r w:rsidRPr="00797211">
        <w:rPr>
          <w:highlight w:val="cyan"/>
        </w:rPr>
        <w:t>mar./</w:t>
      </w:r>
      <w:proofErr w:type="gramEnd"/>
      <w:r w:rsidRPr="00797211">
        <w:rPr>
          <w:highlight w:val="cyan"/>
        </w:rPr>
        <w:t xml:space="preserve"> 2017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Defensoria Pública no novo Código de Processo Civil (NCPC): primeira análise</w:t>
      </w:r>
      <w:r w:rsidRPr="00797211">
        <w:rPr>
          <w:highlight w:val="cyan"/>
        </w:rPr>
        <w:tab/>
        <w:t xml:space="preserve">p. 301-341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5C3BCB" w:rsidRPr="00797211">
        <w:rPr>
          <w:highlight w:val="cyan"/>
        </w:rPr>
        <w:t xml:space="preserve">Maurilio Casas Maia </w:t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Revista Síntese de Direito Civil e Processual Civil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106 </w:t>
      </w:r>
      <w:proofErr w:type="gramStart"/>
      <w:r w:rsidRPr="00797211">
        <w:rPr>
          <w:highlight w:val="cyan"/>
        </w:rPr>
        <w:t>mar./</w:t>
      </w:r>
      <w:proofErr w:type="gramEnd"/>
      <w:r w:rsidRPr="00797211">
        <w:rPr>
          <w:highlight w:val="cyan"/>
        </w:rPr>
        <w:t>abr. 2017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A desconsideração da personalidade jurídica: da origem ao sentido atual no Brasil </w:t>
      </w:r>
      <w:r w:rsidRPr="00797211">
        <w:rPr>
          <w:highlight w:val="cyan"/>
        </w:rPr>
        <w:tab/>
        <w:t xml:space="preserve">p. 98-114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0C4AAC" w:rsidRPr="00797211">
        <w:rPr>
          <w:highlight w:val="cyan"/>
        </w:rPr>
        <w:t xml:space="preserve">Luís Alberto Ribeiro Correia </w:t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Considerações sobre </w:t>
      </w:r>
      <w:proofErr w:type="spellStart"/>
      <w:r w:rsidRPr="00797211">
        <w:rPr>
          <w:highlight w:val="cyan"/>
        </w:rPr>
        <w:t>Amicus</w:t>
      </w:r>
      <w:proofErr w:type="spellEnd"/>
      <w:r w:rsidRPr="00797211">
        <w:rPr>
          <w:highlight w:val="cyan"/>
        </w:rPr>
        <w:t xml:space="preserve"> </w:t>
      </w:r>
      <w:proofErr w:type="spellStart"/>
      <w:r w:rsidRPr="00797211">
        <w:rPr>
          <w:highlight w:val="cyan"/>
        </w:rPr>
        <w:t>Curiae</w:t>
      </w:r>
      <w:proofErr w:type="spellEnd"/>
      <w:r w:rsidRPr="00797211">
        <w:rPr>
          <w:highlight w:val="cyan"/>
        </w:rPr>
        <w:t xml:space="preserve"> em face do NCPC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0C4AAC" w:rsidRPr="00797211">
        <w:rPr>
          <w:highlight w:val="cyan"/>
        </w:rPr>
        <w:t xml:space="preserve">Gisele Leite </w:t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A publicidade dos atos processuais: uma questão </w:t>
      </w:r>
      <w:proofErr w:type="spellStart"/>
      <w:r w:rsidRPr="00797211">
        <w:rPr>
          <w:highlight w:val="cyan"/>
        </w:rPr>
        <w:t>principiológica</w:t>
      </w:r>
      <w:proofErr w:type="spellEnd"/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    </w:t>
      </w:r>
      <w:r w:rsidR="000C4AAC" w:rsidRPr="00797211">
        <w:rPr>
          <w:highlight w:val="cyan"/>
        </w:rPr>
        <w:t xml:space="preserve">Adriane Medianeira </w:t>
      </w:r>
      <w:proofErr w:type="spellStart"/>
      <w:proofErr w:type="gramStart"/>
      <w:r w:rsidR="000C4AAC" w:rsidRPr="00797211">
        <w:rPr>
          <w:highlight w:val="cyan"/>
        </w:rPr>
        <w:t>Toaldo</w:t>
      </w:r>
      <w:proofErr w:type="spellEnd"/>
      <w:r w:rsidR="000C4AAC" w:rsidRPr="00797211">
        <w:rPr>
          <w:highlight w:val="cyan"/>
        </w:rPr>
        <w:t xml:space="preserve"> ;</w:t>
      </w:r>
      <w:proofErr w:type="gramEnd"/>
      <w:r w:rsidR="000C4AAC" w:rsidRPr="00797211">
        <w:rPr>
          <w:highlight w:val="cyan"/>
        </w:rPr>
        <w:t xml:space="preserve"> Osmar Rodrigues 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ab/>
      </w:r>
      <w:r w:rsidRPr="00797211">
        <w:rPr>
          <w:highlight w:val="cyan"/>
        </w:rPr>
        <w:tab/>
      </w:r>
    </w:p>
    <w:p w:rsidR="00DD2FE3" w:rsidRPr="00797211" w:rsidRDefault="00DD2FE3" w:rsidP="00797211">
      <w:pPr>
        <w:rPr>
          <w:highlight w:val="cyan"/>
        </w:rPr>
      </w:pPr>
    </w:p>
    <w:p w:rsidR="00DD2FE3" w:rsidRPr="00797211" w:rsidRDefault="00DD2FE3" w:rsidP="00797211">
      <w:pPr>
        <w:rPr>
          <w:b/>
          <w:highlight w:val="cyan"/>
        </w:rPr>
      </w:pPr>
      <w:r w:rsidRPr="00797211">
        <w:rPr>
          <w:b/>
          <w:highlight w:val="cyan"/>
        </w:rPr>
        <w:t>Interesse Público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 xml:space="preserve">    n. 102 </w:t>
      </w:r>
      <w:proofErr w:type="gramStart"/>
      <w:r w:rsidRPr="00797211">
        <w:rPr>
          <w:highlight w:val="cyan"/>
        </w:rPr>
        <w:t>mar./</w:t>
      </w:r>
      <w:proofErr w:type="gramEnd"/>
      <w:r w:rsidRPr="00797211">
        <w:rPr>
          <w:highlight w:val="cyan"/>
        </w:rPr>
        <w:t>abr. 2017</w:t>
      </w:r>
    </w:p>
    <w:p w:rsidR="00DD2FE3" w:rsidRPr="00797211" w:rsidRDefault="00DD2FE3" w:rsidP="00797211">
      <w:pPr>
        <w:rPr>
          <w:highlight w:val="cyan"/>
        </w:rPr>
      </w:pPr>
      <w:r w:rsidRPr="00797211">
        <w:rPr>
          <w:highlight w:val="cyan"/>
        </w:rPr>
        <w:t>Direito fundamental à Felicidade: dos clássicos à sociedade da informação</w:t>
      </w:r>
    </w:p>
    <w:p w:rsidR="00DD2FE3" w:rsidRPr="00DD2FE3" w:rsidRDefault="00DD2FE3" w:rsidP="00797211">
      <w:r w:rsidRPr="00797211">
        <w:rPr>
          <w:highlight w:val="cyan"/>
        </w:rPr>
        <w:t xml:space="preserve">        </w:t>
      </w:r>
      <w:r w:rsidR="000C4AAC" w:rsidRPr="00797211">
        <w:rPr>
          <w:highlight w:val="cyan"/>
        </w:rPr>
        <w:t>Paulo Ferreira da Cunha</w:t>
      </w:r>
    </w:p>
    <w:p w:rsidR="00DD2FE3" w:rsidRDefault="00DD2FE3"/>
    <w:p w:rsidR="00DD2FE3" w:rsidRDefault="00DD2FE3"/>
    <w:p w:rsidR="00C42961" w:rsidRPr="00EF1915" w:rsidRDefault="00C42961" w:rsidP="00C42961">
      <w:pPr>
        <w:rPr>
          <w:highlight w:val="yellow"/>
        </w:rPr>
      </w:pPr>
      <w:r w:rsidRPr="00EF1915">
        <w:rPr>
          <w:b/>
          <w:highlight w:val="yellow"/>
        </w:rPr>
        <w:t>Revista do Ministério Público</w:t>
      </w:r>
      <w:r w:rsidRPr="00EF1915">
        <w:rPr>
          <w:highlight w:val="yellow"/>
        </w:rPr>
        <w:t xml:space="preserve"> [do Estado do Rio de Janeiro]</w:t>
      </w:r>
    </w:p>
    <w:p w:rsidR="00C42961" w:rsidRPr="00EF1915" w:rsidRDefault="00C42961" w:rsidP="00C42961">
      <w:pPr>
        <w:rPr>
          <w:highlight w:val="yellow"/>
        </w:rPr>
      </w:pPr>
      <w:r w:rsidRPr="00EF1915">
        <w:rPr>
          <w:highlight w:val="yellow"/>
        </w:rPr>
        <w:t xml:space="preserve">    n. 57 </w:t>
      </w:r>
      <w:proofErr w:type="gramStart"/>
      <w:r w:rsidRPr="00EF1915">
        <w:rPr>
          <w:highlight w:val="yellow"/>
        </w:rPr>
        <w:t>jul./</w:t>
      </w:r>
      <w:proofErr w:type="gramEnd"/>
      <w:r w:rsidRPr="00EF1915">
        <w:rPr>
          <w:highlight w:val="yellow"/>
        </w:rPr>
        <w:t>set. 2015</w:t>
      </w:r>
    </w:p>
    <w:p w:rsidR="00C42961" w:rsidRPr="00EF1915" w:rsidRDefault="00C42961" w:rsidP="00C42961">
      <w:pPr>
        <w:rPr>
          <w:highlight w:val="yellow"/>
        </w:rPr>
      </w:pPr>
      <w:r w:rsidRPr="00EF1915">
        <w:rPr>
          <w:highlight w:val="yellow"/>
        </w:rPr>
        <w:t>Calendarização processual</w:t>
      </w:r>
      <w:r w:rsidRPr="00EF1915">
        <w:rPr>
          <w:highlight w:val="yellow"/>
        </w:rPr>
        <w:tab/>
        <w:t xml:space="preserve">p. 91-106 </w:t>
      </w:r>
    </w:p>
    <w:p w:rsidR="00C42961" w:rsidRDefault="00C42961" w:rsidP="00C42961">
      <w:r w:rsidRPr="00EF1915">
        <w:rPr>
          <w:highlight w:val="yellow"/>
        </w:rPr>
        <w:t xml:space="preserve">        </w:t>
      </w:r>
      <w:r w:rsidR="00BB102E" w:rsidRPr="00EF1915">
        <w:rPr>
          <w:highlight w:val="yellow"/>
        </w:rPr>
        <w:t>Eduardo José da Fonseca Costa</w:t>
      </w:r>
      <w:r w:rsidR="00BB102E">
        <w:t xml:space="preserve"> </w:t>
      </w:r>
      <w:r>
        <w:tab/>
      </w:r>
    </w:p>
    <w:p w:rsidR="00C42961" w:rsidRDefault="00C42961" w:rsidP="00C42961">
      <w:r>
        <w:t xml:space="preserve"> </w:t>
      </w:r>
    </w:p>
    <w:p w:rsidR="00C42961" w:rsidRDefault="00C42961" w:rsidP="00C42961"/>
    <w:p w:rsidR="00C42961" w:rsidRDefault="00C42961" w:rsidP="00C42961"/>
    <w:p w:rsidR="00440D35" w:rsidRPr="00440D35" w:rsidRDefault="00440D35" w:rsidP="00C42961">
      <w:pPr>
        <w:rPr>
          <w:b/>
          <w:highlight w:val="yellow"/>
        </w:rPr>
      </w:pPr>
      <w:bookmarkStart w:id="0" w:name="_GoBack"/>
      <w:bookmarkEnd w:id="0"/>
      <w:r w:rsidRPr="00440D35">
        <w:rPr>
          <w:b/>
          <w:highlight w:val="yellow"/>
        </w:rPr>
        <w:t>Revista Brasileira de Direito Comercial</w:t>
      </w:r>
    </w:p>
    <w:p w:rsidR="00440D35" w:rsidRPr="00440D35" w:rsidRDefault="00440D35" w:rsidP="00C42961">
      <w:pPr>
        <w:rPr>
          <w:highlight w:val="yellow"/>
        </w:rPr>
      </w:pPr>
      <w:r w:rsidRPr="00440D35">
        <w:rPr>
          <w:highlight w:val="yellow"/>
        </w:rPr>
        <w:t xml:space="preserve">v. 2, n. 11, p. 5–22, jun./jul., 2016 </w:t>
      </w:r>
    </w:p>
    <w:p w:rsidR="00C42961" w:rsidRPr="00440D35" w:rsidRDefault="00C42961" w:rsidP="00C42961">
      <w:pPr>
        <w:rPr>
          <w:highlight w:val="yellow"/>
        </w:rPr>
      </w:pPr>
      <w:r w:rsidRPr="00440D35">
        <w:rPr>
          <w:highlight w:val="yellow"/>
        </w:rPr>
        <w:t xml:space="preserve">Pontos sobre a desconsideração da personalidade jurídica no Código de Processo Civil de 2015: conceito, a posição do requerido e </w:t>
      </w:r>
      <w:r w:rsidR="00440D35" w:rsidRPr="00440D35">
        <w:rPr>
          <w:highlight w:val="yellow"/>
        </w:rPr>
        <w:t>outros aspectos processuais</w:t>
      </w:r>
      <w:r w:rsidR="00440D35" w:rsidRPr="00440D35">
        <w:rPr>
          <w:highlight w:val="yellow"/>
        </w:rPr>
        <w:tab/>
        <w:t>p. 5-22</w:t>
      </w:r>
      <w:r w:rsidRPr="00440D35">
        <w:rPr>
          <w:highlight w:val="yellow"/>
        </w:rPr>
        <w:t xml:space="preserve"> </w:t>
      </w:r>
    </w:p>
    <w:p w:rsidR="00C42961" w:rsidRDefault="00C42961" w:rsidP="00C42961">
      <w:r w:rsidRPr="00440D35">
        <w:rPr>
          <w:highlight w:val="yellow"/>
        </w:rPr>
        <w:t xml:space="preserve">        </w:t>
      </w:r>
      <w:r w:rsidR="00BB102E" w:rsidRPr="00440D35">
        <w:rPr>
          <w:highlight w:val="yellow"/>
        </w:rPr>
        <w:t xml:space="preserve">Maurício </w:t>
      </w:r>
      <w:proofErr w:type="spellStart"/>
      <w:r w:rsidR="00BB102E" w:rsidRPr="00440D35">
        <w:rPr>
          <w:highlight w:val="yellow"/>
        </w:rPr>
        <w:t>Antonio</w:t>
      </w:r>
      <w:proofErr w:type="spellEnd"/>
      <w:r w:rsidR="00BB102E" w:rsidRPr="00440D35">
        <w:rPr>
          <w:highlight w:val="yellow"/>
        </w:rPr>
        <w:t xml:space="preserve"> </w:t>
      </w:r>
      <w:proofErr w:type="spellStart"/>
      <w:r w:rsidR="00BB102E" w:rsidRPr="00440D35">
        <w:rPr>
          <w:highlight w:val="yellow"/>
        </w:rPr>
        <w:t>Tamer</w:t>
      </w:r>
      <w:proofErr w:type="spellEnd"/>
      <w:r w:rsidR="00BB102E">
        <w:t xml:space="preserve"> </w:t>
      </w:r>
      <w:r>
        <w:tab/>
      </w:r>
    </w:p>
    <w:p w:rsidR="00C42961" w:rsidRDefault="00C42961" w:rsidP="00C42961"/>
    <w:p w:rsidR="00C42961" w:rsidRDefault="00C42961"/>
    <w:p w:rsidR="00152508" w:rsidRPr="00382288" w:rsidRDefault="00152508" w:rsidP="00152508">
      <w:pPr>
        <w:rPr>
          <w:b/>
          <w:highlight w:val="yellow"/>
        </w:rPr>
      </w:pPr>
      <w:r w:rsidRPr="00382288">
        <w:rPr>
          <w:b/>
          <w:highlight w:val="yellow"/>
        </w:rPr>
        <w:t>Revista do Tribunal Regional Federal da 1ª Região</w:t>
      </w:r>
    </w:p>
    <w:p w:rsidR="00152508" w:rsidRPr="00382288" w:rsidRDefault="00152508" w:rsidP="00152508">
      <w:pPr>
        <w:rPr>
          <w:highlight w:val="yellow"/>
        </w:rPr>
      </w:pPr>
      <w:r w:rsidRPr="00382288">
        <w:rPr>
          <w:highlight w:val="yellow"/>
        </w:rPr>
        <w:t xml:space="preserve">    n. 11-12 </w:t>
      </w:r>
      <w:proofErr w:type="gramStart"/>
      <w:r w:rsidRPr="00382288">
        <w:rPr>
          <w:highlight w:val="yellow"/>
        </w:rPr>
        <w:t>nov./</w:t>
      </w:r>
      <w:proofErr w:type="gramEnd"/>
      <w:r w:rsidRPr="00382288">
        <w:rPr>
          <w:highlight w:val="yellow"/>
        </w:rPr>
        <w:t>dez. 2016</w:t>
      </w:r>
    </w:p>
    <w:p w:rsidR="00152508" w:rsidRPr="00382288" w:rsidRDefault="00152508" w:rsidP="00152508">
      <w:pPr>
        <w:rPr>
          <w:highlight w:val="yellow"/>
        </w:rPr>
      </w:pPr>
      <w:r w:rsidRPr="00382288">
        <w:rPr>
          <w:highlight w:val="yellow"/>
        </w:rPr>
        <w:t>A calendarização do processo e a ampliação do prazo de defesa no CPC de 2015</w:t>
      </w:r>
      <w:r w:rsidRPr="00382288">
        <w:rPr>
          <w:highlight w:val="yellow"/>
        </w:rPr>
        <w:tab/>
        <w:t xml:space="preserve">p. 104-111 </w:t>
      </w:r>
    </w:p>
    <w:p w:rsidR="00152508" w:rsidRDefault="00152508" w:rsidP="00152508">
      <w:r w:rsidRPr="00382288">
        <w:rPr>
          <w:highlight w:val="yellow"/>
        </w:rPr>
        <w:t xml:space="preserve">        </w:t>
      </w:r>
      <w:r w:rsidR="00EF1915" w:rsidRPr="00382288">
        <w:rPr>
          <w:highlight w:val="yellow"/>
        </w:rPr>
        <w:t>Gláucio Maciel Gonçalves</w:t>
      </w:r>
      <w:r w:rsidR="00EF1915">
        <w:t xml:space="preserve"> </w:t>
      </w:r>
      <w:r>
        <w:tab/>
      </w:r>
    </w:p>
    <w:p w:rsidR="00152508" w:rsidRDefault="00152508" w:rsidP="00152508"/>
    <w:p w:rsidR="00152508" w:rsidRDefault="00152508" w:rsidP="00152508"/>
    <w:p w:rsidR="00152508" w:rsidRPr="00382288" w:rsidRDefault="00152508" w:rsidP="00152508">
      <w:pPr>
        <w:rPr>
          <w:b/>
          <w:highlight w:val="yellow"/>
        </w:rPr>
      </w:pPr>
      <w:r w:rsidRPr="00382288">
        <w:rPr>
          <w:b/>
          <w:highlight w:val="yellow"/>
        </w:rPr>
        <w:t>Revista do Tribunal Regional Federal da 3ª Região</w:t>
      </w:r>
    </w:p>
    <w:p w:rsidR="00152508" w:rsidRPr="00382288" w:rsidRDefault="00152508" w:rsidP="00152508">
      <w:pPr>
        <w:rPr>
          <w:highlight w:val="yellow"/>
        </w:rPr>
      </w:pPr>
      <w:r w:rsidRPr="00382288">
        <w:rPr>
          <w:highlight w:val="yellow"/>
        </w:rPr>
        <w:t xml:space="preserve">    n. 128 </w:t>
      </w:r>
      <w:proofErr w:type="gramStart"/>
      <w:r w:rsidRPr="00382288">
        <w:rPr>
          <w:highlight w:val="yellow"/>
        </w:rPr>
        <w:t>jan./</w:t>
      </w:r>
      <w:proofErr w:type="gramEnd"/>
      <w:r w:rsidRPr="00382288">
        <w:rPr>
          <w:highlight w:val="yellow"/>
        </w:rPr>
        <w:t>mar. 2016</w:t>
      </w:r>
    </w:p>
    <w:p w:rsidR="00152508" w:rsidRPr="00382288" w:rsidRDefault="00152508" w:rsidP="00152508">
      <w:pPr>
        <w:rPr>
          <w:highlight w:val="yellow"/>
        </w:rPr>
      </w:pPr>
      <w:r w:rsidRPr="00382288">
        <w:rPr>
          <w:highlight w:val="yellow"/>
        </w:rPr>
        <w:t>Os honorários advocatícios e o poder público em juízo no CPC de 2015</w:t>
      </w:r>
      <w:r w:rsidRPr="00382288">
        <w:rPr>
          <w:highlight w:val="yellow"/>
        </w:rPr>
        <w:tab/>
        <w:t xml:space="preserve">p. 25-37 </w:t>
      </w:r>
    </w:p>
    <w:p w:rsidR="00152508" w:rsidRPr="00382288" w:rsidRDefault="00152508" w:rsidP="00152508">
      <w:pPr>
        <w:rPr>
          <w:highlight w:val="yellow"/>
        </w:rPr>
      </w:pPr>
      <w:r w:rsidRPr="00382288">
        <w:rPr>
          <w:highlight w:val="yellow"/>
        </w:rPr>
        <w:t xml:space="preserve">        </w:t>
      </w:r>
      <w:r w:rsidR="00EF1915" w:rsidRPr="00382288">
        <w:rPr>
          <w:highlight w:val="yellow"/>
        </w:rPr>
        <w:t xml:space="preserve">Cassio </w:t>
      </w:r>
      <w:proofErr w:type="spellStart"/>
      <w:r w:rsidR="00EF1915" w:rsidRPr="00382288">
        <w:rPr>
          <w:highlight w:val="yellow"/>
        </w:rPr>
        <w:t>Scarpinella</w:t>
      </w:r>
      <w:proofErr w:type="spellEnd"/>
      <w:r w:rsidR="00EF1915" w:rsidRPr="00382288">
        <w:rPr>
          <w:highlight w:val="yellow"/>
        </w:rPr>
        <w:t xml:space="preserve"> Bueno </w:t>
      </w:r>
      <w:r w:rsidRPr="00382288">
        <w:rPr>
          <w:highlight w:val="yellow"/>
        </w:rPr>
        <w:tab/>
      </w:r>
    </w:p>
    <w:p w:rsidR="00152508" w:rsidRPr="00382288" w:rsidRDefault="00152508" w:rsidP="00152508">
      <w:pPr>
        <w:rPr>
          <w:highlight w:val="yellow"/>
        </w:rPr>
      </w:pPr>
    </w:p>
    <w:p w:rsidR="00152508" w:rsidRPr="00382288" w:rsidRDefault="00152508" w:rsidP="00152508">
      <w:pPr>
        <w:rPr>
          <w:highlight w:val="yellow"/>
        </w:rPr>
      </w:pPr>
      <w:r w:rsidRPr="00382288">
        <w:rPr>
          <w:highlight w:val="yellow"/>
        </w:rPr>
        <w:t>Intervenção de terceiros</w:t>
      </w:r>
      <w:r w:rsidRPr="00382288">
        <w:rPr>
          <w:highlight w:val="yellow"/>
        </w:rPr>
        <w:tab/>
        <w:t xml:space="preserve">p. 89-108 </w:t>
      </w:r>
    </w:p>
    <w:p w:rsidR="00152508" w:rsidRDefault="00152508" w:rsidP="00152508">
      <w:r w:rsidRPr="00382288">
        <w:rPr>
          <w:highlight w:val="yellow"/>
        </w:rPr>
        <w:t xml:space="preserve">        </w:t>
      </w:r>
      <w:r w:rsidR="00EF1915" w:rsidRPr="00382288">
        <w:rPr>
          <w:highlight w:val="yellow"/>
        </w:rPr>
        <w:t>Humberto Theodoro Júnior</w:t>
      </w:r>
      <w:r w:rsidR="00EF1915">
        <w:t xml:space="preserve"> </w:t>
      </w:r>
      <w:r>
        <w:tab/>
      </w:r>
    </w:p>
    <w:p w:rsidR="00152508" w:rsidRDefault="00152508"/>
    <w:p w:rsidR="00152508" w:rsidRDefault="00152508" w:rsidP="00152508"/>
    <w:p w:rsidR="00152508" w:rsidRDefault="00152508" w:rsidP="00152508"/>
    <w:p w:rsidR="00152508" w:rsidRPr="00EF1915" w:rsidRDefault="00152508" w:rsidP="00152508">
      <w:pPr>
        <w:rPr>
          <w:b/>
          <w:highlight w:val="yellow"/>
        </w:rPr>
      </w:pPr>
      <w:r w:rsidRPr="00EF1915">
        <w:rPr>
          <w:b/>
          <w:highlight w:val="yellow"/>
        </w:rPr>
        <w:t>Revista do Tribunal Regional Federal da 4ª Região</w:t>
      </w:r>
    </w:p>
    <w:p w:rsidR="00152508" w:rsidRPr="00EF1915" w:rsidRDefault="00152508" w:rsidP="00152508">
      <w:pPr>
        <w:rPr>
          <w:highlight w:val="yellow"/>
        </w:rPr>
      </w:pPr>
      <w:r w:rsidRPr="00EF1915">
        <w:rPr>
          <w:highlight w:val="yellow"/>
        </w:rPr>
        <w:t xml:space="preserve">    n. 89 </w:t>
      </w:r>
      <w:proofErr w:type="gramStart"/>
      <w:r w:rsidRPr="00EF1915">
        <w:rPr>
          <w:highlight w:val="yellow"/>
        </w:rPr>
        <w:t>set./</w:t>
      </w:r>
      <w:proofErr w:type="gramEnd"/>
      <w:r w:rsidRPr="00EF1915">
        <w:rPr>
          <w:highlight w:val="yellow"/>
        </w:rPr>
        <w:t>dez. 2015</w:t>
      </w:r>
    </w:p>
    <w:p w:rsidR="00152508" w:rsidRPr="00EF1915" w:rsidRDefault="00152508" w:rsidP="00152508">
      <w:pPr>
        <w:rPr>
          <w:highlight w:val="yellow"/>
        </w:rPr>
      </w:pPr>
      <w:r w:rsidRPr="00EF1915">
        <w:rPr>
          <w:highlight w:val="yellow"/>
        </w:rPr>
        <w:t>Avanços em matéria de cooperação jurídica internacional: cartas rogatórias, homologação de sentenças estrangeiras e auxílio direto</w:t>
      </w:r>
      <w:r w:rsidRPr="00EF1915">
        <w:rPr>
          <w:highlight w:val="yellow"/>
        </w:rPr>
        <w:tab/>
        <w:t xml:space="preserve">p. 203-233 </w:t>
      </w:r>
    </w:p>
    <w:p w:rsidR="00152508" w:rsidRDefault="00152508" w:rsidP="00152508">
      <w:r w:rsidRPr="00EF1915">
        <w:rPr>
          <w:highlight w:val="yellow"/>
        </w:rPr>
        <w:t xml:space="preserve">        </w:t>
      </w:r>
      <w:r w:rsidR="00EF1915" w:rsidRPr="00EF1915">
        <w:rPr>
          <w:highlight w:val="yellow"/>
        </w:rPr>
        <w:t xml:space="preserve">Carmen </w:t>
      </w:r>
      <w:proofErr w:type="spellStart"/>
      <w:r w:rsidR="00EF1915" w:rsidRPr="00EF1915">
        <w:rPr>
          <w:highlight w:val="yellow"/>
        </w:rPr>
        <w:t>Tiburcio</w:t>
      </w:r>
      <w:proofErr w:type="spellEnd"/>
    </w:p>
    <w:p w:rsidR="00152508" w:rsidRDefault="00152508" w:rsidP="00152508"/>
    <w:p w:rsidR="00152508" w:rsidRDefault="00152508" w:rsidP="00152508"/>
    <w:p w:rsidR="00152508" w:rsidRDefault="00152508"/>
    <w:sectPr w:rsidR="00152508" w:rsidSect="00DD2FE3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E3"/>
    <w:rsid w:val="000C4AAC"/>
    <w:rsid w:val="00152508"/>
    <w:rsid w:val="00251849"/>
    <w:rsid w:val="00375EB9"/>
    <w:rsid w:val="00382288"/>
    <w:rsid w:val="00440D35"/>
    <w:rsid w:val="005C3BCB"/>
    <w:rsid w:val="00797211"/>
    <w:rsid w:val="007C4F3A"/>
    <w:rsid w:val="00BB102E"/>
    <w:rsid w:val="00C42961"/>
    <w:rsid w:val="00C73D5C"/>
    <w:rsid w:val="00D3239F"/>
    <w:rsid w:val="00DD2FE3"/>
    <w:rsid w:val="00EC31F5"/>
    <w:rsid w:val="00E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7728"/>
  <w15:chartTrackingRefBased/>
  <w15:docId w15:val="{50A112BE-7C25-476F-BDDA-39DAE437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E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FE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D2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10</cp:revision>
  <dcterms:created xsi:type="dcterms:W3CDTF">2017-06-29T19:58:00Z</dcterms:created>
  <dcterms:modified xsi:type="dcterms:W3CDTF">2017-06-30T14:27:00Z</dcterms:modified>
</cp:coreProperties>
</file>